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AB56" w14:textId="1BF909E9" w:rsidR="00C576FE" w:rsidRDefault="00C576FE" w:rsidP="00C576FE">
      <w:pPr>
        <w:rPr>
          <w:rFonts w:ascii="Calibri" w:hAnsi="Calibri" w:cs="Calibri"/>
          <w:b/>
          <w:bCs/>
          <w:sz w:val="36"/>
          <w:szCs w:val="36"/>
        </w:rPr>
      </w:pPr>
      <w:r>
        <w:rPr>
          <w:noProof/>
        </w:rPr>
        <w:drawing>
          <wp:inline distT="0" distB="0" distL="0" distR="0" wp14:anchorId="00F7BC32" wp14:editId="3AFB83DC">
            <wp:extent cx="3411415" cy="457200"/>
            <wp:effectExtent l="0" t="0" r="0" b="0"/>
            <wp:docPr id="2056752751" name="drawing" descr="yazı tipi, metin,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52751" name="drawing" descr="yazı tipi, metin, grafik, logo içeren bir resim&#10;&#10;Yapay zeka tarafından oluşturulmuş içerik yanlış olabilir."/>
                    <pic:cNvPicPr/>
                  </pic:nvPicPr>
                  <pic:blipFill>
                    <a:blip r:embed="rId9">
                      <a:extLst>
                        <a:ext uri="{28A0092B-C50C-407E-A947-70E740481C1C}">
                          <a14:useLocalDpi xmlns:a14="http://schemas.microsoft.com/office/drawing/2010/main"/>
                        </a:ext>
                      </a:extLst>
                    </a:blip>
                    <a:stretch>
                      <a:fillRect/>
                    </a:stretch>
                  </pic:blipFill>
                  <pic:spPr>
                    <a:xfrm>
                      <a:off x="0" y="0"/>
                      <a:ext cx="3411415" cy="457200"/>
                    </a:xfrm>
                    <a:prstGeom prst="rect">
                      <a:avLst/>
                    </a:prstGeom>
                  </pic:spPr>
                </pic:pic>
              </a:graphicData>
            </a:graphic>
          </wp:inline>
        </w:drawing>
      </w:r>
      <w:r>
        <w:rPr>
          <w:rFonts w:ascii="Calibri" w:hAnsi="Calibri" w:cs="Calibri"/>
          <w:b/>
          <w:bCs/>
          <w:sz w:val="36"/>
          <w:szCs w:val="36"/>
        </w:rPr>
        <w:t xml:space="preserve">  </w:t>
      </w:r>
    </w:p>
    <w:p w14:paraId="54C9D264" w14:textId="27A64BA1" w:rsidR="00C576FE" w:rsidRPr="00C576FE" w:rsidRDefault="00122F0D" w:rsidP="00C576FE">
      <w:pPr>
        <w:jc w:val="right"/>
        <w:rPr>
          <w:rFonts w:ascii="Calibri" w:hAnsi="Calibri" w:cs="Calibri"/>
        </w:rPr>
      </w:pPr>
      <w:r>
        <w:rPr>
          <w:rFonts w:ascii="Calibri" w:hAnsi="Calibri" w:cs="Calibri"/>
        </w:rPr>
        <w:t>20</w:t>
      </w:r>
      <w:r w:rsidR="00C576FE">
        <w:rPr>
          <w:rFonts w:ascii="Calibri" w:hAnsi="Calibri" w:cs="Calibri"/>
        </w:rPr>
        <w:t xml:space="preserve"> Ocak 2026</w:t>
      </w:r>
    </w:p>
    <w:p w14:paraId="7A2594DB" w14:textId="77777777" w:rsidR="005410B5" w:rsidRDefault="005410B5" w:rsidP="00F24B53">
      <w:pPr>
        <w:jc w:val="center"/>
        <w:rPr>
          <w:rFonts w:ascii="Calibri" w:hAnsi="Calibri" w:cs="Calibri"/>
          <w:b/>
          <w:bCs/>
          <w:sz w:val="42"/>
          <w:szCs w:val="42"/>
        </w:rPr>
      </w:pPr>
    </w:p>
    <w:p w14:paraId="67FC4DF9" w14:textId="111BFF80" w:rsidR="002D3D9E" w:rsidRPr="00CC165B" w:rsidRDefault="00F24B53" w:rsidP="00F24B53">
      <w:pPr>
        <w:jc w:val="center"/>
        <w:rPr>
          <w:rFonts w:ascii="Calibri" w:hAnsi="Calibri" w:cs="Calibri"/>
          <w:b/>
          <w:bCs/>
          <w:sz w:val="42"/>
          <w:szCs w:val="42"/>
        </w:rPr>
      </w:pPr>
      <w:r w:rsidRPr="5536BA3B">
        <w:rPr>
          <w:rFonts w:ascii="Calibri" w:hAnsi="Calibri" w:cs="Calibri"/>
          <w:b/>
          <w:bCs/>
          <w:sz w:val="42"/>
          <w:szCs w:val="42"/>
        </w:rPr>
        <w:t>Cengiz Enerji</w:t>
      </w:r>
      <w:r w:rsidR="001447C4">
        <w:rPr>
          <w:rFonts w:ascii="Calibri" w:hAnsi="Calibri" w:cs="Calibri"/>
          <w:b/>
          <w:bCs/>
          <w:sz w:val="42"/>
          <w:szCs w:val="42"/>
        </w:rPr>
        <w:t>, 2025’te</w:t>
      </w:r>
      <w:r w:rsidR="5830F15D" w:rsidRPr="5536BA3B">
        <w:rPr>
          <w:rFonts w:ascii="Calibri" w:hAnsi="Calibri" w:cs="Calibri"/>
          <w:b/>
          <w:bCs/>
          <w:sz w:val="42"/>
          <w:szCs w:val="42"/>
        </w:rPr>
        <w:t xml:space="preserve"> dengeli </w:t>
      </w:r>
      <w:r w:rsidR="001447C4">
        <w:rPr>
          <w:rFonts w:ascii="Calibri" w:hAnsi="Calibri" w:cs="Calibri"/>
          <w:b/>
          <w:bCs/>
          <w:sz w:val="42"/>
          <w:szCs w:val="42"/>
        </w:rPr>
        <w:t>üretim yaklaşımıyla büyümesini sürdürdü</w:t>
      </w:r>
    </w:p>
    <w:p w14:paraId="5AFADB66" w14:textId="0EE4E1A0" w:rsidR="00F24B53" w:rsidRDefault="00F24B53" w:rsidP="001447C4">
      <w:pPr>
        <w:jc w:val="center"/>
        <w:rPr>
          <w:rFonts w:ascii="Calibri" w:hAnsi="Calibri" w:cs="Calibri"/>
          <w:b/>
          <w:bCs/>
          <w:sz w:val="26"/>
          <w:szCs w:val="26"/>
        </w:rPr>
      </w:pPr>
      <w:r w:rsidRPr="00F24B53">
        <w:rPr>
          <w:rFonts w:ascii="Calibri" w:hAnsi="Calibri" w:cs="Calibri"/>
          <w:b/>
          <w:bCs/>
          <w:sz w:val="26"/>
          <w:szCs w:val="26"/>
        </w:rPr>
        <w:t>Toplam 5.744 MW’lik kurulu gücüyle Türkiye’nin önde gelen enerji şirketleri</w:t>
      </w:r>
      <w:r w:rsidR="007C6E21">
        <w:rPr>
          <w:rFonts w:ascii="Calibri" w:hAnsi="Calibri" w:cs="Calibri"/>
          <w:b/>
          <w:bCs/>
          <w:sz w:val="26"/>
          <w:szCs w:val="26"/>
        </w:rPr>
        <w:t xml:space="preserve"> arasında yer alan </w:t>
      </w:r>
      <w:r w:rsidRPr="00F24B53">
        <w:rPr>
          <w:rFonts w:ascii="Calibri" w:hAnsi="Calibri" w:cs="Calibri"/>
          <w:b/>
          <w:bCs/>
          <w:sz w:val="26"/>
          <w:szCs w:val="26"/>
        </w:rPr>
        <w:t xml:space="preserve">Cengiz Enerji, 2025 yılında </w:t>
      </w:r>
      <w:r w:rsidR="001447C4">
        <w:rPr>
          <w:rFonts w:ascii="Calibri" w:hAnsi="Calibri" w:cs="Calibri"/>
          <w:b/>
          <w:bCs/>
          <w:sz w:val="26"/>
          <w:szCs w:val="26"/>
        </w:rPr>
        <w:t xml:space="preserve">enerji arz güvenliğini odağına alan dengeli üretim modeli ve </w:t>
      </w:r>
      <w:r w:rsidRPr="00F24B53">
        <w:rPr>
          <w:rFonts w:ascii="Calibri" w:hAnsi="Calibri" w:cs="Calibri"/>
          <w:b/>
          <w:bCs/>
          <w:sz w:val="26"/>
          <w:szCs w:val="26"/>
        </w:rPr>
        <w:t xml:space="preserve">yatırımlarıyla faaliyetlerini sürdürdü. Şirket, </w:t>
      </w:r>
      <w:r w:rsidR="001447C4">
        <w:rPr>
          <w:rFonts w:ascii="Calibri" w:hAnsi="Calibri" w:cs="Calibri"/>
          <w:b/>
          <w:bCs/>
          <w:sz w:val="26"/>
          <w:szCs w:val="26"/>
        </w:rPr>
        <w:t xml:space="preserve">baz yük kapasitesi ile yenilebilir enerji kaynaklarını aynı sistem içinde etkin biçimde yöneten entegre yapısıyla, enerji sisteminin sürekliliğine </w:t>
      </w:r>
      <w:r w:rsidRPr="00F24B53">
        <w:rPr>
          <w:rFonts w:ascii="Calibri" w:hAnsi="Calibri" w:cs="Calibri"/>
          <w:b/>
          <w:bCs/>
          <w:sz w:val="26"/>
          <w:szCs w:val="26"/>
        </w:rPr>
        <w:t>katkı sağlamaya devam etti.</w:t>
      </w:r>
    </w:p>
    <w:p w14:paraId="033F8384" w14:textId="73F46E73" w:rsidR="006B62A7" w:rsidRDefault="009C017C" w:rsidP="009C017C">
      <w:pPr>
        <w:rPr>
          <w:rFonts w:ascii="Calibri" w:hAnsi="Calibri" w:cs="Calibri"/>
          <w:sz w:val="22"/>
          <w:szCs w:val="22"/>
        </w:rPr>
      </w:pPr>
      <w:r w:rsidRPr="00811C66">
        <w:rPr>
          <w:rFonts w:ascii="Calibri" w:hAnsi="Calibri" w:cs="Calibri"/>
          <w:sz w:val="22"/>
          <w:szCs w:val="22"/>
        </w:rPr>
        <w:t>Enerji sektöründe arz ile talebin anlık olarak dengelenmesini gerektiren yapı</w:t>
      </w:r>
      <w:r w:rsidR="007C6E21">
        <w:rPr>
          <w:rFonts w:ascii="Calibri" w:hAnsi="Calibri" w:cs="Calibri"/>
          <w:sz w:val="22"/>
          <w:szCs w:val="22"/>
        </w:rPr>
        <w:t>,</w:t>
      </w:r>
      <w:r w:rsidRPr="00811C66">
        <w:rPr>
          <w:rFonts w:ascii="Calibri" w:hAnsi="Calibri" w:cs="Calibri"/>
          <w:sz w:val="22"/>
          <w:szCs w:val="22"/>
        </w:rPr>
        <w:t xml:space="preserve"> </w:t>
      </w:r>
      <w:r w:rsidR="007C6E21">
        <w:rPr>
          <w:rFonts w:ascii="Calibri" w:hAnsi="Calibri" w:cs="Calibri"/>
          <w:sz w:val="22"/>
          <w:szCs w:val="22"/>
        </w:rPr>
        <w:t xml:space="preserve">2025 yılında </w:t>
      </w:r>
      <w:r w:rsidRPr="00811C66">
        <w:rPr>
          <w:rFonts w:ascii="Calibri" w:hAnsi="Calibri" w:cs="Calibri"/>
          <w:sz w:val="22"/>
          <w:szCs w:val="22"/>
        </w:rPr>
        <w:t xml:space="preserve">daha </w:t>
      </w:r>
      <w:r w:rsidR="007C6E21">
        <w:rPr>
          <w:rFonts w:ascii="Calibri" w:hAnsi="Calibri" w:cs="Calibri"/>
          <w:sz w:val="22"/>
          <w:szCs w:val="22"/>
        </w:rPr>
        <w:t xml:space="preserve">da </w:t>
      </w:r>
      <w:r w:rsidRPr="00811C66">
        <w:rPr>
          <w:rFonts w:ascii="Calibri" w:hAnsi="Calibri" w:cs="Calibri"/>
          <w:sz w:val="22"/>
          <w:szCs w:val="22"/>
        </w:rPr>
        <w:t>kritik hale geld</w:t>
      </w:r>
      <w:r w:rsidR="002B422F">
        <w:rPr>
          <w:rFonts w:ascii="Calibri" w:hAnsi="Calibri" w:cs="Calibri"/>
          <w:sz w:val="22"/>
          <w:szCs w:val="22"/>
        </w:rPr>
        <w:t>i</w:t>
      </w:r>
      <w:r w:rsidR="007C6E21">
        <w:rPr>
          <w:rFonts w:ascii="Calibri" w:hAnsi="Calibri" w:cs="Calibri"/>
          <w:sz w:val="22"/>
          <w:szCs w:val="22"/>
        </w:rPr>
        <w:t xml:space="preserve">. Bu dönemde </w:t>
      </w:r>
      <w:r w:rsidRPr="00811C66">
        <w:rPr>
          <w:rFonts w:ascii="Calibri" w:hAnsi="Calibri" w:cs="Calibri"/>
          <w:sz w:val="22"/>
          <w:szCs w:val="22"/>
        </w:rPr>
        <w:t>Cengiz Enerji, termik santrallerin sağladığı baz yük kapasitesi ile hidroelektrik, rüzg</w:t>
      </w:r>
      <w:r w:rsidR="00F60657">
        <w:rPr>
          <w:rFonts w:ascii="Calibri" w:hAnsi="Calibri" w:cs="Calibri"/>
          <w:sz w:val="22"/>
          <w:szCs w:val="22"/>
        </w:rPr>
        <w:t>a</w:t>
      </w:r>
      <w:r w:rsidRPr="00811C66">
        <w:rPr>
          <w:rFonts w:ascii="Calibri" w:hAnsi="Calibri" w:cs="Calibri"/>
          <w:sz w:val="22"/>
          <w:szCs w:val="22"/>
        </w:rPr>
        <w:t xml:space="preserve">r ve güneş enerjisini </w:t>
      </w:r>
      <w:r w:rsidR="00F97C18">
        <w:rPr>
          <w:rFonts w:ascii="Calibri" w:hAnsi="Calibri" w:cs="Calibri"/>
          <w:sz w:val="22"/>
          <w:szCs w:val="22"/>
        </w:rPr>
        <w:t>entegre bir üretim yaklaşımıyla yönetti</w:t>
      </w:r>
      <w:r w:rsidRPr="00811C66">
        <w:rPr>
          <w:rFonts w:ascii="Calibri" w:hAnsi="Calibri" w:cs="Calibri"/>
          <w:sz w:val="22"/>
          <w:szCs w:val="22"/>
        </w:rPr>
        <w:t>. Şirketin yenilenebilir enerji portföyü; 2.290 MW hidroelektrik, 828 MW güneş ve 156 MW rüzg</w:t>
      </w:r>
      <w:r w:rsidR="00DA319F">
        <w:rPr>
          <w:rFonts w:ascii="Calibri" w:hAnsi="Calibri" w:cs="Calibri"/>
          <w:sz w:val="22"/>
          <w:szCs w:val="22"/>
        </w:rPr>
        <w:t>a</w:t>
      </w:r>
      <w:r w:rsidRPr="00811C66">
        <w:rPr>
          <w:rFonts w:ascii="Calibri" w:hAnsi="Calibri" w:cs="Calibri"/>
          <w:sz w:val="22"/>
          <w:szCs w:val="22"/>
        </w:rPr>
        <w:t>r olmak üzere toplam 3.274 MW kurulu güce ulaştı. Yurt dışında ise Özbekistan’daki 480 MW</w:t>
      </w:r>
      <w:r w:rsidR="007C6E21">
        <w:rPr>
          <w:rFonts w:ascii="Calibri" w:hAnsi="Calibri" w:cs="Calibri"/>
          <w:sz w:val="22"/>
          <w:szCs w:val="22"/>
        </w:rPr>
        <w:t xml:space="preserve"> kurulu güce sahip</w:t>
      </w:r>
      <w:r w:rsidRPr="00811C66">
        <w:rPr>
          <w:rFonts w:ascii="Calibri" w:hAnsi="Calibri" w:cs="Calibri"/>
          <w:sz w:val="22"/>
          <w:szCs w:val="22"/>
        </w:rPr>
        <w:t xml:space="preserve"> doğal gaz santrali, portföyün </w:t>
      </w:r>
      <w:r w:rsidR="00F97C18">
        <w:rPr>
          <w:rFonts w:ascii="Calibri" w:hAnsi="Calibri" w:cs="Calibri"/>
          <w:sz w:val="22"/>
          <w:szCs w:val="22"/>
        </w:rPr>
        <w:t xml:space="preserve">dengeli yapısını tamamlayan </w:t>
      </w:r>
      <w:r w:rsidRPr="00811C66">
        <w:rPr>
          <w:rFonts w:ascii="Calibri" w:hAnsi="Calibri" w:cs="Calibri"/>
          <w:sz w:val="22"/>
          <w:szCs w:val="22"/>
        </w:rPr>
        <w:t>önemli unsurlar arasında yer aldı.</w:t>
      </w:r>
    </w:p>
    <w:p w14:paraId="4383482B" w14:textId="436CF8FF" w:rsidR="00062DF6" w:rsidRDefault="006B62A7" w:rsidP="0003118B">
      <w:pPr>
        <w:rPr>
          <w:rFonts w:ascii="Calibri" w:hAnsi="Calibri" w:cs="Calibri"/>
          <w:b/>
          <w:bCs/>
          <w:sz w:val="22"/>
          <w:szCs w:val="22"/>
        </w:rPr>
      </w:pPr>
      <w:r w:rsidRPr="006B62A7">
        <w:rPr>
          <w:rFonts w:ascii="Calibri" w:hAnsi="Calibri" w:cs="Calibri"/>
          <w:b/>
          <w:bCs/>
          <w:sz w:val="22"/>
          <w:szCs w:val="22"/>
        </w:rPr>
        <w:t xml:space="preserve">ÜRETİMDEN DAĞITIMA </w:t>
      </w:r>
      <w:r w:rsidR="005410B5">
        <w:rPr>
          <w:rFonts w:ascii="Calibri" w:hAnsi="Calibri" w:cs="Calibri"/>
          <w:b/>
          <w:bCs/>
          <w:sz w:val="22"/>
          <w:szCs w:val="22"/>
        </w:rPr>
        <w:t>UZANAN ENTEGRE YAKLAŞIM</w:t>
      </w:r>
    </w:p>
    <w:p w14:paraId="6455082F" w14:textId="38402D70" w:rsidR="0003118B" w:rsidRPr="005410B5" w:rsidRDefault="005410B5" w:rsidP="005410B5">
      <w:pPr>
        <w:rPr>
          <w:rFonts w:ascii="Calibri" w:hAnsi="Calibri" w:cs="Calibri"/>
          <w:sz w:val="22"/>
          <w:szCs w:val="22"/>
        </w:rPr>
      </w:pPr>
      <w:r w:rsidRPr="005410B5">
        <w:rPr>
          <w:rFonts w:ascii="Calibri" w:hAnsi="Calibri" w:cs="Calibri"/>
          <w:sz w:val="22"/>
          <w:szCs w:val="22"/>
        </w:rPr>
        <w:t xml:space="preserve">Cengiz Enerji, 2025 yılında elektrik dağıtım alanındaki faaliyetleriyle </w:t>
      </w:r>
      <w:r>
        <w:rPr>
          <w:rFonts w:ascii="Calibri" w:hAnsi="Calibri" w:cs="Calibri"/>
          <w:sz w:val="22"/>
          <w:szCs w:val="22"/>
        </w:rPr>
        <w:t xml:space="preserve">de </w:t>
      </w:r>
      <w:r w:rsidRPr="005410B5">
        <w:rPr>
          <w:rFonts w:ascii="Calibri" w:hAnsi="Calibri" w:cs="Calibri"/>
          <w:sz w:val="22"/>
          <w:szCs w:val="22"/>
        </w:rPr>
        <w:t xml:space="preserve">Türkiye’nin enerji altyapısına katkı sağlamayı sürdürdü. Şirket; Boğaziçi Elektrik Dağıtım A.Ş. (BEDAŞ), Akdeniz Elektrik Dağıtım A.Ş. (AEDAŞ), Meram Elektrik Dağıtım A.Ş. (MEDAŞ) ve Çamlıbel Elektrik Dağıtım A.Ş. (ÇEDAŞ) aracılığıyla, İstanbul Avrupa Yakası başta olmak üzere 13 ilde yaklaşık 20 milyon kişiye elektrik </w:t>
      </w:r>
      <w:r>
        <w:rPr>
          <w:rFonts w:ascii="Calibri" w:hAnsi="Calibri" w:cs="Calibri"/>
          <w:sz w:val="22"/>
          <w:szCs w:val="22"/>
        </w:rPr>
        <w:t xml:space="preserve">arzının sürekliliğini sağlamaya devam etti. Türkiye </w:t>
      </w:r>
      <w:r w:rsidRPr="005410B5">
        <w:rPr>
          <w:rFonts w:ascii="Calibri" w:hAnsi="Calibri" w:cs="Calibri"/>
          <w:sz w:val="22"/>
          <w:szCs w:val="22"/>
        </w:rPr>
        <w:t xml:space="preserve">toplam elektrik tüketiminin yaklaşık %30’unu kapsayan bu dağıtım portföyü kapsamında, </w:t>
      </w:r>
      <w:r>
        <w:rPr>
          <w:rFonts w:ascii="Calibri" w:hAnsi="Calibri" w:cs="Calibri"/>
          <w:sz w:val="22"/>
          <w:szCs w:val="22"/>
        </w:rPr>
        <w:t>Cengiz Enerji yıllık</w:t>
      </w:r>
      <w:r w:rsidRPr="005410B5">
        <w:rPr>
          <w:rFonts w:ascii="Calibri" w:hAnsi="Calibri" w:cs="Calibri"/>
          <w:sz w:val="22"/>
          <w:szCs w:val="22"/>
        </w:rPr>
        <w:t xml:space="preserve"> yaklaşık 54 milyar kWh elektrik dağıtımı gerçekleştiri</w:t>
      </w:r>
      <w:r>
        <w:rPr>
          <w:rFonts w:ascii="Calibri" w:hAnsi="Calibri" w:cs="Calibri"/>
          <w:sz w:val="22"/>
          <w:szCs w:val="22"/>
        </w:rPr>
        <w:t>yor</w:t>
      </w:r>
      <w:r w:rsidRPr="005410B5">
        <w:rPr>
          <w:rFonts w:ascii="Calibri" w:hAnsi="Calibri" w:cs="Calibri"/>
          <w:sz w:val="22"/>
          <w:szCs w:val="22"/>
        </w:rPr>
        <w:t xml:space="preserve">. </w:t>
      </w:r>
      <w:r w:rsidR="00062DF6">
        <w:rPr>
          <w:rFonts w:ascii="Calibri" w:hAnsi="Calibri" w:cs="Calibri"/>
          <w:sz w:val="22"/>
          <w:szCs w:val="22"/>
        </w:rPr>
        <w:br/>
      </w:r>
      <w:r w:rsidR="00062DF6">
        <w:rPr>
          <w:rFonts w:ascii="Calibri" w:hAnsi="Calibri" w:cs="Calibri"/>
          <w:sz w:val="22"/>
          <w:szCs w:val="22"/>
        </w:rPr>
        <w:br/>
      </w:r>
      <w:r w:rsidR="00CA6E7D" w:rsidRPr="00811C66">
        <w:rPr>
          <w:rFonts w:ascii="Calibri" w:hAnsi="Calibri" w:cs="Calibri"/>
          <w:b/>
          <w:bCs/>
          <w:sz w:val="22"/>
          <w:szCs w:val="22"/>
        </w:rPr>
        <w:t>2025’TE YATIRIM</w:t>
      </w:r>
      <w:r w:rsidR="005E012A">
        <w:rPr>
          <w:rFonts w:ascii="Calibri" w:hAnsi="Calibri" w:cs="Calibri"/>
          <w:b/>
          <w:bCs/>
          <w:sz w:val="22"/>
          <w:szCs w:val="22"/>
        </w:rPr>
        <w:t xml:space="preserve"> ODAĞI DENGELİ VE ÖNGÖRÜLEBİLİR BÜYÜME OLDU</w:t>
      </w:r>
    </w:p>
    <w:p w14:paraId="2D27DB60" w14:textId="08C4EF08" w:rsidR="0003118B" w:rsidRDefault="0003118B" w:rsidP="0003118B">
      <w:pPr>
        <w:rPr>
          <w:rFonts w:ascii="Calibri" w:hAnsi="Calibri" w:cs="Calibri"/>
          <w:sz w:val="22"/>
          <w:szCs w:val="22"/>
        </w:rPr>
      </w:pPr>
      <w:r w:rsidRPr="00811C66">
        <w:rPr>
          <w:rFonts w:ascii="Calibri" w:hAnsi="Calibri" w:cs="Calibri"/>
          <w:sz w:val="22"/>
          <w:szCs w:val="22"/>
        </w:rPr>
        <w:t xml:space="preserve">2025 yılı, Cengiz Enerji açısından </w:t>
      </w:r>
      <w:r w:rsidR="00F97C18">
        <w:rPr>
          <w:rFonts w:ascii="Calibri" w:hAnsi="Calibri" w:cs="Calibri"/>
          <w:sz w:val="22"/>
          <w:szCs w:val="22"/>
        </w:rPr>
        <w:t xml:space="preserve">büyüme stratejisinin kontrollü, öngörülebilir ve uzun vadeli bir bakış açısıyla </w:t>
      </w:r>
      <w:r w:rsidR="00154F53">
        <w:rPr>
          <w:rFonts w:ascii="Calibri" w:hAnsi="Calibri" w:cs="Calibri"/>
          <w:sz w:val="22"/>
          <w:szCs w:val="22"/>
        </w:rPr>
        <w:t xml:space="preserve">desteklendiği </w:t>
      </w:r>
      <w:r w:rsidRPr="00811C66">
        <w:rPr>
          <w:rFonts w:ascii="Calibri" w:hAnsi="Calibri" w:cs="Calibri"/>
          <w:sz w:val="22"/>
          <w:szCs w:val="22"/>
        </w:rPr>
        <w:t>bir dönem oldu. Şirketin planla</w:t>
      </w:r>
      <w:r w:rsidR="00F26456">
        <w:rPr>
          <w:rFonts w:ascii="Calibri" w:hAnsi="Calibri" w:cs="Calibri"/>
          <w:sz w:val="22"/>
          <w:szCs w:val="22"/>
        </w:rPr>
        <w:t>ma ve izin süreçleri devam eden toplam</w:t>
      </w:r>
      <w:r w:rsidRPr="00811C66">
        <w:rPr>
          <w:rFonts w:ascii="Calibri" w:hAnsi="Calibri" w:cs="Calibri"/>
          <w:sz w:val="22"/>
          <w:szCs w:val="22"/>
        </w:rPr>
        <w:t xml:space="preserve"> yeni kurulu gücü 1.1</w:t>
      </w:r>
      <w:r w:rsidR="004C4251">
        <w:rPr>
          <w:rFonts w:ascii="Calibri" w:hAnsi="Calibri" w:cs="Calibri"/>
          <w:sz w:val="22"/>
          <w:szCs w:val="22"/>
        </w:rPr>
        <w:t>60</w:t>
      </w:r>
      <w:r w:rsidRPr="00811C66">
        <w:rPr>
          <w:rFonts w:ascii="Calibri" w:hAnsi="Calibri" w:cs="Calibri"/>
          <w:sz w:val="22"/>
          <w:szCs w:val="22"/>
        </w:rPr>
        <w:t xml:space="preserve"> MW seviyesinde bulunu</w:t>
      </w:r>
      <w:r w:rsidR="00F97C18">
        <w:rPr>
          <w:rFonts w:ascii="Calibri" w:hAnsi="Calibri" w:cs="Calibri"/>
          <w:sz w:val="22"/>
          <w:szCs w:val="22"/>
        </w:rPr>
        <w:t>yor. B</w:t>
      </w:r>
      <w:r w:rsidRPr="00811C66">
        <w:rPr>
          <w:rFonts w:ascii="Calibri" w:hAnsi="Calibri" w:cs="Calibri"/>
          <w:sz w:val="22"/>
          <w:szCs w:val="22"/>
        </w:rPr>
        <w:t>u kapasitenin 550 MW’ı Özbekistan’da hayata geçirilecek doğal gaz santrali yatırımından, 6</w:t>
      </w:r>
      <w:r w:rsidR="004C4251">
        <w:rPr>
          <w:rFonts w:ascii="Calibri" w:hAnsi="Calibri" w:cs="Calibri"/>
          <w:sz w:val="22"/>
          <w:szCs w:val="22"/>
        </w:rPr>
        <w:t>10</w:t>
      </w:r>
      <w:r w:rsidRPr="00811C66">
        <w:rPr>
          <w:rFonts w:ascii="Calibri" w:hAnsi="Calibri" w:cs="Calibri"/>
          <w:sz w:val="22"/>
          <w:szCs w:val="22"/>
        </w:rPr>
        <w:t xml:space="preserve"> MW’ı ise Türkiye’de ağırlıklı olarak yenilenebilir ve depolamalı santral projelerinden oluşuyor. İzin ve ÇED süreçleri doğrultusunda ilerleyen projelerin bir bölümünün 2026</w:t>
      </w:r>
      <w:r w:rsidR="00154F53">
        <w:rPr>
          <w:rFonts w:ascii="Calibri" w:hAnsi="Calibri" w:cs="Calibri"/>
          <w:sz w:val="22"/>
          <w:szCs w:val="22"/>
        </w:rPr>
        <w:t xml:space="preserve"> yılında </w:t>
      </w:r>
      <w:r w:rsidR="00F26456">
        <w:rPr>
          <w:rFonts w:ascii="Calibri" w:hAnsi="Calibri" w:cs="Calibri"/>
          <w:sz w:val="22"/>
          <w:szCs w:val="22"/>
        </w:rPr>
        <w:t>devreye alınması hedefleniyor</w:t>
      </w:r>
      <w:r w:rsidRPr="00811C66">
        <w:rPr>
          <w:rFonts w:ascii="Calibri" w:hAnsi="Calibri" w:cs="Calibri"/>
          <w:sz w:val="22"/>
          <w:szCs w:val="22"/>
        </w:rPr>
        <w:t xml:space="preserve">. </w:t>
      </w:r>
      <w:r w:rsidR="005E012A">
        <w:rPr>
          <w:rFonts w:ascii="Calibri" w:hAnsi="Calibri" w:cs="Calibri"/>
          <w:sz w:val="22"/>
          <w:szCs w:val="22"/>
        </w:rPr>
        <w:t>R</w:t>
      </w:r>
      <w:r w:rsidRPr="00811C66">
        <w:rPr>
          <w:rFonts w:ascii="Calibri" w:hAnsi="Calibri" w:cs="Calibri"/>
          <w:sz w:val="22"/>
          <w:szCs w:val="22"/>
        </w:rPr>
        <w:t>üzg</w:t>
      </w:r>
      <w:r w:rsidR="0059542A" w:rsidRPr="00811C66">
        <w:rPr>
          <w:rFonts w:ascii="Calibri" w:hAnsi="Calibri" w:cs="Calibri"/>
          <w:sz w:val="22"/>
          <w:szCs w:val="22"/>
        </w:rPr>
        <w:t>a</w:t>
      </w:r>
      <w:r w:rsidRPr="00811C66">
        <w:rPr>
          <w:rFonts w:ascii="Calibri" w:hAnsi="Calibri" w:cs="Calibri"/>
          <w:sz w:val="22"/>
          <w:szCs w:val="22"/>
        </w:rPr>
        <w:t xml:space="preserve">r enerjisinde ise </w:t>
      </w:r>
      <w:r w:rsidR="005E012A">
        <w:rPr>
          <w:rFonts w:ascii="Calibri" w:hAnsi="Calibri" w:cs="Calibri"/>
          <w:sz w:val="22"/>
          <w:szCs w:val="22"/>
        </w:rPr>
        <w:t xml:space="preserve">Şirket, </w:t>
      </w:r>
      <w:r w:rsidRPr="00811C66">
        <w:rPr>
          <w:rFonts w:ascii="Calibri" w:hAnsi="Calibri" w:cs="Calibri"/>
          <w:sz w:val="22"/>
          <w:szCs w:val="22"/>
        </w:rPr>
        <w:t>Türkiye’nin en büyük rüzg</w:t>
      </w:r>
      <w:r w:rsidR="00626E7B" w:rsidRPr="00811C66">
        <w:rPr>
          <w:rFonts w:ascii="Calibri" w:hAnsi="Calibri" w:cs="Calibri"/>
          <w:sz w:val="22"/>
          <w:szCs w:val="22"/>
        </w:rPr>
        <w:t>a</w:t>
      </w:r>
      <w:r w:rsidRPr="00811C66">
        <w:rPr>
          <w:rFonts w:ascii="Calibri" w:hAnsi="Calibri" w:cs="Calibri"/>
          <w:sz w:val="22"/>
          <w:szCs w:val="22"/>
        </w:rPr>
        <w:t>r türbin</w:t>
      </w:r>
      <w:r w:rsidR="00154F53">
        <w:rPr>
          <w:rFonts w:ascii="Calibri" w:hAnsi="Calibri" w:cs="Calibri"/>
          <w:sz w:val="22"/>
          <w:szCs w:val="22"/>
        </w:rPr>
        <w:t>ler</w:t>
      </w:r>
      <w:r w:rsidRPr="00811C66">
        <w:rPr>
          <w:rFonts w:ascii="Calibri" w:hAnsi="Calibri" w:cs="Calibri"/>
          <w:sz w:val="22"/>
          <w:szCs w:val="22"/>
        </w:rPr>
        <w:t>i</w:t>
      </w:r>
      <w:r w:rsidR="00154F53">
        <w:rPr>
          <w:rFonts w:ascii="Calibri" w:hAnsi="Calibri" w:cs="Calibri"/>
          <w:sz w:val="22"/>
          <w:szCs w:val="22"/>
        </w:rPr>
        <w:t>nden biri</w:t>
      </w:r>
      <w:r w:rsidRPr="00811C66">
        <w:rPr>
          <w:rFonts w:ascii="Calibri" w:hAnsi="Calibri" w:cs="Calibri"/>
          <w:sz w:val="22"/>
          <w:szCs w:val="22"/>
        </w:rPr>
        <w:t xml:space="preserve"> olan 7,2 MW’lık </w:t>
      </w:r>
      <w:r w:rsidR="00F26456">
        <w:rPr>
          <w:rFonts w:ascii="Calibri" w:hAnsi="Calibri" w:cs="Calibri"/>
          <w:sz w:val="22"/>
          <w:szCs w:val="22"/>
        </w:rPr>
        <w:t xml:space="preserve">kapasiteli yeni nesil türbin yatırımıyla, </w:t>
      </w:r>
      <w:r w:rsidRPr="00811C66">
        <w:rPr>
          <w:rFonts w:ascii="Calibri" w:hAnsi="Calibri" w:cs="Calibri"/>
          <w:sz w:val="22"/>
          <w:szCs w:val="22"/>
        </w:rPr>
        <w:t>kapasite</w:t>
      </w:r>
      <w:r w:rsidR="00F26456">
        <w:rPr>
          <w:rFonts w:ascii="Calibri" w:hAnsi="Calibri" w:cs="Calibri"/>
          <w:sz w:val="22"/>
          <w:szCs w:val="22"/>
        </w:rPr>
        <w:t xml:space="preserve"> artışının yanı sıra</w:t>
      </w:r>
      <w:r w:rsidRPr="00811C66">
        <w:rPr>
          <w:rFonts w:ascii="Calibri" w:hAnsi="Calibri" w:cs="Calibri"/>
          <w:sz w:val="22"/>
          <w:szCs w:val="22"/>
        </w:rPr>
        <w:t xml:space="preserve"> </w:t>
      </w:r>
      <w:r w:rsidR="00F26456">
        <w:rPr>
          <w:rFonts w:ascii="Calibri" w:hAnsi="Calibri" w:cs="Calibri"/>
          <w:sz w:val="22"/>
          <w:szCs w:val="22"/>
        </w:rPr>
        <w:t xml:space="preserve">üretim </w:t>
      </w:r>
      <w:r w:rsidRPr="00811C66">
        <w:rPr>
          <w:rFonts w:ascii="Calibri" w:hAnsi="Calibri" w:cs="Calibri"/>
          <w:sz w:val="22"/>
          <w:szCs w:val="22"/>
        </w:rPr>
        <w:t>verimlili</w:t>
      </w:r>
      <w:r w:rsidR="00154F53">
        <w:rPr>
          <w:rFonts w:ascii="Calibri" w:hAnsi="Calibri" w:cs="Calibri"/>
          <w:sz w:val="22"/>
          <w:szCs w:val="22"/>
        </w:rPr>
        <w:t>ği</w:t>
      </w:r>
      <w:r w:rsidRPr="00811C66">
        <w:rPr>
          <w:rFonts w:ascii="Calibri" w:hAnsi="Calibri" w:cs="Calibri"/>
          <w:sz w:val="22"/>
          <w:szCs w:val="22"/>
        </w:rPr>
        <w:t xml:space="preserve"> artırmaya yönelik çalışmalar</w:t>
      </w:r>
      <w:r w:rsidR="00F97C18">
        <w:rPr>
          <w:rFonts w:ascii="Calibri" w:hAnsi="Calibri" w:cs="Calibri"/>
          <w:sz w:val="22"/>
          <w:szCs w:val="22"/>
        </w:rPr>
        <w:t>ın</w:t>
      </w:r>
      <w:r w:rsidR="00F26456">
        <w:rPr>
          <w:rFonts w:ascii="Calibri" w:hAnsi="Calibri" w:cs="Calibri"/>
          <w:sz w:val="22"/>
          <w:szCs w:val="22"/>
        </w:rPr>
        <w:t>ı</w:t>
      </w:r>
      <w:r w:rsidRPr="00811C66">
        <w:rPr>
          <w:rFonts w:ascii="Calibri" w:hAnsi="Calibri" w:cs="Calibri"/>
          <w:sz w:val="22"/>
          <w:szCs w:val="22"/>
        </w:rPr>
        <w:t xml:space="preserve"> 2025</w:t>
      </w:r>
      <w:r w:rsidR="00154F53">
        <w:rPr>
          <w:rFonts w:ascii="Calibri" w:hAnsi="Calibri" w:cs="Calibri"/>
          <w:sz w:val="22"/>
          <w:szCs w:val="22"/>
        </w:rPr>
        <w:t xml:space="preserve"> yılı boyunca</w:t>
      </w:r>
      <w:r w:rsidRPr="00811C66">
        <w:rPr>
          <w:rFonts w:ascii="Calibri" w:hAnsi="Calibri" w:cs="Calibri"/>
          <w:sz w:val="22"/>
          <w:szCs w:val="22"/>
        </w:rPr>
        <w:t xml:space="preserve"> </w:t>
      </w:r>
      <w:r w:rsidR="00F26456">
        <w:rPr>
          <w:rFonts w:ascii="Calibri" w:hAnsi="Calibri" w:cs="Calibri"/>
          <w:sz w:val="22"/>
          <w:szCs w:val="22"/>
        </w:rPr>
        <w:t>sürdürdü</w:t>
      </w:r>
      <w:r w:rsidRPr="00811C66">
        <w:rPr>
          <w:rFonts w:ascii="Calibri" w:hAnsi="Calibri" w:cs="Calibri"/>
          <w:sz w:val="22"/>
          <w:szCs w:val="22"/>
        </w:rPr>
        <w:t>.</w:t>
      </w:r>
      <w:r w:rsidR="00154F53">
        <w:rPr>
          <w:rFonts w:ascii="Calibri" w:hAnsi="Calibri" w:cs="Calibri"/>
          <w:sz w:val="22"/>
          <w:szCs w:val="22"/>
        </w:rPr>
        <w:t xml:space="preserve"> Bu yatırımlar, Cengiz Enerji’nin </w:t>
      </w:r>
      <w:r w:rsidR="00F26456">
        <w:rPr>
          <w:rFonts w:ascii="Calibri" w:hAnsi="Calibri" w:cs="Calibri"/>
          <w:sz w:val="22"/>
          <w:szCs w:val="22"/>
        </w:rPr>
        <w:t>kurulu gücünü büyütmesinin ötesinde,</w:t>
      </w:r>
      <w:r w:rsidR="00154F53">
        <w:rPr>
          <w:rFonts w:ascii="Calibri" w:hAnsi="Calibri" w:cs="Calibri"/>
          <w:sz w:val="22"/>
          <w:szCs w:val="22"/>
        </w:rPr>
        <w:t xml:space="preserve"> uzun vadeli arz güvenliği ve sistem esnekliği hedeflerini de destekliyor.</w:t>
      </w:r>
    </w:p>
    <w:p w14:paraId="6D17C5B8" w14:textId="6989725C" w:rsidR="0003118B" w:rsidRPr="00811C66" w:rsidRDefault="00CB7CBD" w:rsidP="0003118B">
      <w:pPr>
        <w:rPr>
          <w:rFonts w:ascii="Calibri" w:hAnsi="Calibri" w:cs="Calibri"/>
          <w:b/>
          <w:bCs/>
          <w:sz w:val="22"/>
          <w:szCs w:val="22"/>
        </w:rPr>
      </w:pPr>
      <w:r w:rsidRPr="00811C66">
        <w:rPr>
          <w:rFonts w:ascii="Calibri" w:hAnsi="Calibri" w:cs="Calibri"/>
          <w:b/>
          <w:bCs/>
          <w:sz w:val="22"/>
          <w:szCs w:val="22"/>
        </w:rPr>
        <w:lastRenderedPageBreak/>
        <w:t xml:space="preserve">HİBRİT VE DEPOLAMA ADIMLARI </w:t>
      </w:r>
      <w:r w:rsidR="00010F83">
        <w:rPr>
          <w:rFonts w:ascii="Calibri" w:hAnsi="Calibri" w:cs="Calibri"/>
          <w:b/>
          <w:bCs/>
          <w:sz w:val="22"/>
          <w:szCs w:val="22"/>
        </w:rPr>
        <w:t>STRATEJİK ÖNCELİK HALİNE GELDİ</w:t>
      </w:r>
    </w:p>
    <w:p w14:paraId="7D07B0FD" w14:textId="77777777" w:rsidR="00010F83" w:rsidRDefault="00010F83" w:rsidP="0003118B">
      <w:pPr>
        <w:rPr>
          <w:rFonts w:ascii="Calibri" w:hAnsi="Calibri" w:cs="Calibri"/>
          <w:sz w:val="22"/>
          <w:szCs w:val="22"/>
        </w:rPr>
      </w:pPr>
      <w:r w:rsidRPr="00010F83">
        <w:rPr>
          <w:rFonts w:ascii="Calibri" w:hAnsi="Calibri" w:cs="Calibri"/>
          <w:sz w:val="22"/>
          <w:szCs w:val="22"/>
        </w:rPr>
        <w:t>Yenilenebilir enerji üretiminin doğası gereği değişken bir karaktere sahip olması, 2025 yılında sistem dengesi ve arz sürekliliğini enerji sektörünün ana gündem maddeleri arasına taşıdı. Cengiz Enerji bu çerçevede, portföy dayanıklılığını artırmaya yönelik hibrit ve depolama yatırımlarına odaklandı.</w:t>
      </w:r>
      <w:r>
        <w:rPr>
          <w:rFonts w:ascii="Calibri" w:hAnsi="Calibri" w:cs="Calibri"/>
          <w:sz w:val="22"/>
          <w:szCs w:val="22"/>
        </w:rPr>
        <w:t xml:space="preserve"> </w:t>
      </w:r>
      <w:r w:rsidR="0003118B" w:rsidRPr="00811C66">
        <w:rPr>
          <w:rFonts w:ascii="Calibri" w:hAnsi="Calibri" w:cs="Calibri"/>
          <w:sz w:val="22"/>
          <w:szCs w:val="22"/>
        </w:rPr>
        <w:t>Türkiye’nin ilk hibrit santralini hayata geçiren şirket, Aşağı Kaleköy’de 500 MW hidroelektrik kapasiteye ek olarak 80 MW güneş enerjisiyle hibrit üretimini sürdürdü. Depolamalı santral yatırımlarına yönelik ön lisans</w:t>
      </w:r>
      <w:r w:rsidR="002207D7">
        <w:rPr>
          <w:rFonts w:ascii="Calibri" w:hAnsi="Calibri" w:cs="Calibri"/>
          <w:sz w:val="22"/>
          <w:szCs w:val="22"/>
        </w:rPr>
        <w:t xml:space="preserve"> süreçleri tamamlanırken,</w:t>
      </w:r>
      <w:r w:rsidR="0003118B" w:rsidRPr="00811C66">
        <w:rPr>
          <w:rFonts w:ascii="Calibri" w:hAnsi="Calibri" w:cs="Calibri"/>
          <w:sz w:val="22"/>
          <w:szCs w:val="22"/>
        </w:rPr>
        <w:t xml:space="preserve"> izin </w:t>
      </w:r>
      <w:r>
        <w:rPr>
          <w:rFonts w:ascii="Calibri" w:hAnsi="Calibri" w:cs="Calibri"/>
          <w:sz w:val="22"/>
          <w:szCs w:val="22"/>
        </w:rPr>
        <w:t>aşamalarının</w:t>
      </w:r>
      <w:r w:rsidR="0003118B" w:rsidRPr="00811C66">
        <w:rPr>
          <w:rFonts w:ascii="Calibri" w:hAnsi="Calibri" w:cs="Calibri"/>
          <w:sz w:val="22"/>
          <w:szCs w:val="22"/>
        </w:rPr>
        <w:t xml:space="preserve"> ardından projelerin </w:t>
      </w:r>
      <w:r w:rsidR="002207D7">
        <w:rPr>
          <w:rFonts w:ascii="Calibri" w:hAnsi="Calibri" w:cs="Calibri"/>
          <w:sz w:val="22"/>
          <w:szCs w:val="22"/>
        </w:rPr>
        <w:t xml:space="preserve">kademeli olarak </w:t>
      </w:r>
      <w:r w:rsidR="0003118B" w:rsidRPr="00811C66">
        <w:rPr>
          <w:rFonts w:ascii="Calibri" w:hAnsi="Calibri" w:cs="Calibri"/>
          <w:sz w:val="22"/>
          <w:szCs w:val="22"/>
        </w:rPr>
        <w:t>devreye alınması hedefleniyor. Depolamalı santraller için önümüzdeki 10 yıllık ihtiyacı kapsayan 34 bin MW’lık ulusal kapasite çerçevesi</w:t>
      </w:r>
      <w:r>
        <w:rPr>
          <w:rFonts w:ascii="Calibri" w:hAnsi="Calibri" w:cs="Calibri"/>
          <w:sz w:val="22"/>
          <w:szCs w:val="22"/>
        </w:rPr>
        <w:t>, Cengiz Enerji’nin yatırım planlamasında dikkate aldığı temel referanslardan biri olarak</w:t>
      </w:r>
      <w:r w:rsidR="0003118B" w:rsidRPr="00811C66">
        <w:rPr>
          <w:rFonts w:ascii="Calibri" w:hAnsi="Calibri" w:cs="Calibri"/>
          <w:sz w:val="22"/>
          <w:szCs w:val="22"/>
        </w:rPr>
        <w:t xml:space="preserve"> yıl boyunca yakından </w:t>
      </w:r>
      <w:r>
        <w:rPr>
          <w:rFonts w:ascii="Calibri" w:hAnsi="Calibri" w:cs="Calibri"/>
          <w:sz w:val="22"/>
          <w:szCs w:val="22"/>
        </w:rPr>
        <w:t>izlendi.</w:t>
      </w:r>
    </w:p>
    <w:p w14:paraId="04DA26A8" w14:textId="77777777" w:rsidR="00010F83" w:rsidRDefault="00010F83" w:rsidP="00010F83">
      <w:pPr>
        <w:rPr>
          <w:rFonts w:ascii="Calibri" w:hAnsi="Calibri" w:cs="Calibri"/>
          <w:b/>
          <w:bCs/>
          <w:sz w:val="22"/>
          <w:szCs w:val="22"/>
        </w:rPr>
      </w:pPr>
      <w:r w:rsidRPr="00010F83">
        <w:rPr>
          <w:rFonts w:ascii="Calibri" w:hAnsi="Calibri" w:cs="Calibri"/>
          <w:b/>
          <w:bCs/>
          <w:sz w:val="22"/>
          <w:szCs w:val="22"/>
        </w:rPr>
        <w:t xml:space="preserve">YURT DIŞI YATIRIMLARDA ORTA ASYA VE TÜRK CUMHURİYETLERİ </w:t>
      </w:r>
      <w:r>
        <w:rPr>
          <w:rFonts w:ascii="Calibri" w:hAnsi="Calibri" w:cs="Calibri"/>
          <w:b/>
          <w:bCs/>
          <w:sz w:val="22"/>
          <w:szCs w:val="22"/>
        </w:rPr>
        <w:t>ODAKTA</w:t>
      </w:r>
    </w:p>
    <w:p w14:paraId="66BC83E1" w14:textId="7D271EAF" w:rsidR="00010F83" w:rsidRDefault="00010F83" w:rsidP="00010F83">
      <w:pPr>
        <w:rPr>
          <w:rFonts w:ascii="Calibri" w:hAnsi="Calibri" w:cs="Calibri"/>
          <w:sz w:val="22"/>
          <w:szCs w:val="22"/>
        </w:rPr>
      </w:pPr>
      <w:r w:rsidRPr="001447C4">
        <w:rPr>
          <w:rFonts w:ascii="Calibri" w:hAnsi="Calibri" w:cs="Calibri"/>
          <w:sz w:val="22"/>
          <w:szCs w:val="22"/>
        </w:rPr>
        <w:t>Cengiz Enerji’nin yurt dışı portföyünde Özbekistan, 2025 yılında da öncelikli konumunu korudu. Mevcut santraller ve devam eden yatırımlar, ülkenin enerji arz güvenliğine katkı sağlarken, şirketin uluslararası büyüme stratejisinin de temel yapı taşlarını oluşturuyor.</w:t>
      </w:r>
      <w:r w:rsidR="000B7DBD">
        <w:rPr>
          <w:rFonts w:ascii="Calibri" w:hAnsi="Calibri" w:cs="Calibri"/>
          <w:sz w:val="22"/>
          <w:szCs w:val="22"/>
        </w:rPr>
        <w:t xml:space="preserve"> </w:t>
      </w:r>
      <w:r w:rsidRPr="001447C4">
        <w:rPr>
          <w:rFonts w:ascii="Calibri" w:hAnsi="Calibri" w:cs="Calibri"/>
          <w:sz w:val="22"/>
          <w:szCs w:val="22"/>
        </w:rPr>
        <w:t>Cengiz Enerji, Orta Asya ve Türk Cumhuriyetleri başta olmak üzere farklı coğrafyalarda, regülasyonlara uyumlu, sürdürülebilir ve uzun vadeli yatırım fırsatlarını yakından takip etmeyi sürdürüyor.</w:t>
      </w:r>
    </w:p>
    <w:p w14:paraId="252E349C" w14:textId="103877C2" w:rsidR="005E012A" w:rsidRPr="001447C4" w:rsidRDefault="005E012A" w:rsidP="00010F83">
      <w:pPr>
        <w:rPr>
          <w:rFonts w:ascii="Calibri" w:hAnsi="Calibri" w:cs="Calibri"/>
          <w:sz w:val="22"/>
          <w:szCs w:val="22"/>
        </w:rPr>
      </w:pPr>
      <w:r>
        <w:rPr>
          <w:rFonts w:ascii="Calibri" w:hAnsi="Calibri" w:cs="Calibri"/>
          <w:sz w:val="22"/>
          <w:szCs w:val="22"/>
        </w:rPr>
        <w:t xml:space="preserve">Bu kapsamda </w:t>
      </w:r>
      <w:r w:rsidRPr="005E012A">
        <w:rPr>
          <w:rFonts w:ascii="Calibri" w:hAnsi="Calibri" w:cs="Calibri"/>
          <w:sz w:val="22"/>
          <w:szCs w:val="22"/>
        </w:rPr>
        <w:t xml:space="preserve">Cengiz Enerji, 2025 yılında Orta Doğu’da da </w:t>
      </w:r>
      <w:r>
        <w:rPr>
          <w:rFonts w:ascii="Calibri" w:hAnsi="Calibri" w:cs="Calibri"/>
          <w:sz w:val="22"/>
          <w:szCs w:val="22"/>
        </w:rPr>
        <w:t xml:space="preserve">stratejik </w:t>
      </w:r>
      <w:r w:rsidRPr="005E012A">
        <w:rPr>
          <w:rFonts w:ascii="Calibri" w:hAnsi="Calibri" w:cs="Calibri"/>
          <w:sz w:val="22"/>
          <w:szCs w:val="22"/>
        </w:rPr>
        <w:t xml:space="preserve">bir adım attı. Şirketin de yer aldığı uluslararası konsorsiyum ile Suriye Enerji Bakanlığı arasında imzalanan anlaşma </w:t>
      </w:r>
      <w:r>
        <w:rPr>
          <w:rFonts w:ascii="Calibri" w:hAnsi="Calibri" w:cs="Calibri"/>
          <w:sz w:val="22"/>
          <w:szCs w:val="22"/>
        </w:rPr>
        <w:t>doğrultusunda</w:t>
      </w:r>
      <w:r w:rsidRPr="005E012A">
        <w:rPr>
          <w:rFonts w:ascii="Calibri" w:hAnsi="Calibri" w:cs="Calibri"/>
          <w:sz w:val="22"/>
          <w:szCs w:val="22"/>
        </w:rPr>
        <w:t>, toplam 5.000 MW kurulu güce ulaşması hedeflenen doğal gaz ve güneş enerjisi santrallerine yönelik projelerde uygulama aşamasına geçildi. Söz konusu yatırım</w:t>
      </w:r>
      <w:r>
        <w:rPr>
          <w:rFonts w:ascii="Calibri" w:hAnsi="Calibri" w:cs="Calibri"/>
          <w:sz w:val="22"/>
          <w:szCs w:val="22"/>
        </w:rPr>
        <w:t>ın</w:t>
      </w:r>
      <w:r w:rsidRPr="005E012A">
        <w:rPr>
          <w:rFonts w:ascii="Calibri" w:hAnsi="Calibri" w:cs="Calibri"/>
          <w:sz w:val="22"/>
          <w:szCs w:val="22"/>
        </w:rPr>
        <w:t>, bölgenin enerji arz güvenliğini güçlendirme</w:t>
      </w:r>
      <w:r>
        <w:rPr>
          <w:rFonts w:ascii="Calibri" w:hAnsi="Calibri" w:cs="Calibri"/>
          <w:sz w:val="22"/>
          <w:szCs w:val="22"/>
        </w:rPr>
        <w:t>si</w:t>
      </w:r>
      <w:r w:rsidRPr="005E012A">
        <w:rPr>
          <w:rFonts w:ascii="Calibri" w:hAnsi="Calibri" w:cs="Calibri"/>
          <w:sz w:val="22"/>
          <w:szCs w:val="22"/>
        </w:rPr>
        <w:t xml:space="preserve"> ve uzun vadeli ekonomik toparlanmaya katkı sağlama</w:t>
      </w:r>
      <w:r>
        <w:rPr>
          <w:rFonts w:ascii="Calibri" w:hAnsi="Calibri" w:cs="Calibri"/>
          <w:sz w:val="22"/>
          <w:szCs w:val="22"/>
        </w:rPr>
        <w:t>sı hedefleniyor.</w:t>
      </w:r>
    </w:p>
    <w:p w14:paraId="249BAA95" w14:textId="169A4BB4" w:rsidR="00F97C18" w:rsidRDefault="000B7DBD" w:rsidP="0003118B">
      <w:pPr>
        <w:rPr>
          <w:rFonts w:ascii="Calibri" w:hAnsi="Calibri" w:cs="Calibri"/>
          <w:b/>
          <w:bCs/>
          <w:sz w:val="22"/>
          <w:szCs w:val="22"/>
        </w:rPr>
      </w:pPr>
      <w:r>
        <w:rPr>
          <w:rFonts w:ascii="Calibri" w:hAnsi="Calibri" w:cs="Calibri"/>
          <w:b/>
          <w:bCs/>
          <w:sz w:val="22"/>
          <w:szCs w:val="22"/>
        </w:rPr>
        <w:t>GELECEĞİM MÜHENDİSLERİNE YATIRIM</w:t>
      </w:r>
    </w:p>
    <w:p w14:paraId="146A8AA4" w14:textId="7E632744" w:rsidR="000B7DBD" w:rsidRPr="001447C4" w:rsidRDefault="000B7DBD" w:rsidP="000B7DBD">
      <w:pPr>
        <w:rPr>
          <w:rFonts w:ascii="Calibri" w:hAnsi="Calibri" w:cs="Calibri"/>
          <w:sz w:val="22"/>
          <w:szCs w:val="22"/>
        </w:rPr>
      </w:pPr>
      <w:r w:rsidRPr="001447C4">
        <w:rPr>
          <w:rFonts w:ascii="Calibri" w:hAnsi="Calibri" w:cs="Calibri"/>
          <w:sz w:val="22"/>
          <w:szCs w:val="22"/>
        </w:rPr>
        <w:t>Cengiz Enerji, 2025 yılında enerji altyapısına yönelik yatırımlarının yanı sıra sektörün geleceğini şekillendirecek nitelikli insan kaynağına yönelik çalışmalarını da güçlendirdi. Elektrik Mühendisleri Odası (EMO) Ankara Şubesi iş birliğiyle ReAktör mentorluk programı</w:t>
      </w:r>
      <w:r>
        <w:rPr>
          <w:rFonts w:ascii="Calibri" w:hAnsi="Calibri" w:cs="Calibri"/>
          <w:sz w:val="22"/>
          <w:szCs w:val="22"/>
        </w:rPr>
        <w:t xml:space="preserve">nı hayata geçirdi. </w:t>
      </w:r>
      <w:r w:rsidRPr="001447C4">
        <w:rPr>
          <w:rFonts w:ascii="Calibri" w:hAnsi="Calibri" w:cs="Calibri"/>
          <w:sz w:val="22"/>
          <w:szCs w:val="22"/>
        </w:rPr>
        <w:t>Üniversite–sanayi iş birliğinin somut bir örneği olarak tasarlanan program, genç mühendislerin teorik bilgilerini gerçek üretim ortamında uygulamalı olarak deneyimlemelerini ve enerji sektörüne daha donanımlı şekilde hazırlanmalarını hedefliyor.</w:t>
      </w:r>
      <w:r>
        <w:rPr>
          <w:rFonts w:ascii="Calibri" w:hAnsi="Calibri" w:cs="Calibri"/>
          <w:sz w:val="22"/>
          <w:szCs w:val="22"/>
        </w:rPr>
        <w:t xml:space="preserve"> </w:t>
      </w:r>
      <w:r w:rsidRPr="000B7DBD">
        <w:rPr>
          <w:rFonts w:ascii="Calibri" w:hAnsi="Calibri" w:cs="Calibri"/>
          <w:sz w:val="22"/>
          <w:szCs w:val="22"/>
        </w:rPr>
        <w:t>Proje kapsamında, Ankara’daki 11 üniversitenin elektrik-elektronik mühendisliği öğrencilerine yönelik mentorluk, saha deneyimi ve teknik tesis ziyaretlerinin 2026 yılında da sürdürülmesi planlanıyor.</w:t>
      </w:r>
    </w:p>
    <w:p w14:paraId="01C55AB7" w14:textId="35F4EE2A" w:rsidR="000B7DBD" w:rsidRPr="001447C4" w:rsidRDefault="000B7DBD" w:rsidP="000B7DBD">
      <w:pPr>
        <w:rPr>
          <w:rFonts w:ascii="Calibri" w:hAnsi="Calibri" w:cs="Calibri"/>
          <w:b/>
          <w:bCs/>
        </w:rPr>
      </w:pPr>
      <w:r w:rsidRPr="001447C4">
        <w:rPr>
          <w:rFonts w:ascii="Calibri" w:hAnsi="Calibri" w:cs="Calibri"/>
          <w:b/>
          <w:bCs/>
        </w:rPr>
        <w:t>“</w:t>
      </w:r>
      <w:r>
        <w:rPr>
          <w:rFonts w:ascii="Calibri" w:hAnsi="Calibri" w:cs="Calibri"/>
          <w:b/>
          <w:bCs/>
        </w:rPr>
        <w:t>ENERJİ YATIRIMLARINDA KALICI DEĞER, DOĞRU PORTFÖY MİMARİSİYLE MÜMKÜN”</w:t>
      </w:r>
    </w:p>
    <w:p w14:paraId="18CFAA79" w14:textId="4FA5CD4D" w:rsidR="00B36589" w:rsidRPr="00F24B53" w:rsidRDefault="004E28C1" w:rsidP="00F24B53">
      <w:pPr>
        <w:rPr>
          <w:rFonts w:ascii="Calibri" w:hAnsi="Calibri" w:cs="Calibri"/>
        </w:rPr>
      </w:pPr>
      <w:r w:rsidRPr="00811C66">
        <w:rPr>
          <w:rFonts w:ascii="Calibri" w:hAnsi="Calibri" w:cs="Calibri"/>
          <w:b/>
          <w:bCs/>
          <w:sz w:val="22"/>
          <w:szCs w:val="22"/>
        </w:rPr>
        <w:t xml:space="preserve">Cengiz Enerji CEO’su Ahmet Türkoğlu </w:t>
      </w:r>
      <w:r w:rsidR="00FE7368">
        <w:rPr>
          <w:rFonts w:ascii="Calibri" w:hAnsi="Calibri" w:cs="Calibri"/>
          <w:b/>
          <w:bCs/>
          <w:sz w:val="22"/>
          <w:szCs w:val="22"/>
        </w:rPr>
        <w:t xml:space="preserve">2025 </w:t>
      </w:r>
      <w:r w:rsidR="00FE7368">
        <w:rPr>
          <w:rFonts w:ascii="Calibri" w:hAnsi="Calibri" w:cs="Calibri"/>
          <w:sz w:val="22"/>
          <w:szCs w:val="22"/>
        </w:rPr>
        <w:t xml:space="preserve">yılına ilişkin değerlendirmesinde şu ifadeleri kullandı: </w:t>
      </w:r>
      <w:r w:rsidR="001447C4" w:rsidRPr="005E012A">
        <w:rPr>
          <w:rFonts w:ascii="Calibri" w:hAnsi="Calibri" w:cs="Calibri"/>
          <w:i/>
          <w:iCs/>
          <w:sz w:val="22"/>
          <w:szCs w:val="22"/>
        </w:rPr>
        <w:t xml:space="preserve">“Enerji yatırımlarında kalıcı değer üretmenin yolu, bugünün ihtiyaçlarını karşılarken yarının sistemini de bugünden </w:t>
      </w:r>
      <w:r w:rsidR="005E012A">
        <w:rPr>
          <w:rFonts w:ascii="Calibri" w:hAnsi="Calibri" w:cs="Calibri"/>
          <w:i/>
          <w:iCs/>
          <w:sz w:val="22"/>
          <w:szCs w:val="22"/>
        </w:rPr>
        <w:t>doğru şekilde planlamaktan</w:t>
      </w:r>
      <w:r w:rsidR="001447C4" w:rsidRPr="005E012A">
        <w:rPr>
          <w:rFonts w:ascii="Calibri" w:hAnsi="Calibri" w:cs="Calibri"/>
          <w:i/>
          <w:iCs/>
          <w:sz w:val="22"/>
          <w:szCs w:val="22"/>
        </w:rPr>
        <w:t xml:space="preserve"> geçiyor.</w:t>
      </w:r>
      <w:r w:rsidR="00FE7368" w:rsidRPr="005E012A">
        <w:rPr>
          <w:rFonts w:ascii="Calibri" w:hAnsi="Calibri" w:cs="Calibri"/>
          <w:i/>
          <w:iCs/>
          <w:sz w:val="22"/>
          <w:szCs w:val="22"/>
        </w:rPr>
        <w:t xml:space="preserve"> </w:t>
      </w:r>
      <w:r w:rsidR="001447C4" w:rsidRPr="005E012A">
        <w:rPr>
          <w:rFonts w:ascii="Calibri" w:hAnsi="Calibri" w:cs="Calibri"/>
          <w:i/>
          <w:iCs/>
          <w:sz w:val="22"/>
          <w:szCs w:val="22"/>
        </w:rPr>
        <w:t xml:space="preserve">2025 yılında odağımız; baz yük kapasitesi ile yenilenebilir kaynakları dengeli biçimde bir araya getiren, arz güvenliğini önceleyen ve uzun vadeli öngörülebilirlik </w:t>
      </w:r>
      <w:r w:rsidR="005E012A">
        <w:rPr>
          <w:rFonts w:ascii="Calibri" w:hAnsi="Calibri" w:cs="Calibri"/>
          <w:i/>
          <w:iCs/>
          <w:sz w:val="22"/>
          <w:szCs w:val="22"/>
        </w:rPr>
        <w:t>sağlayan</w:t>
      </w:r>
      <w:r w:rsidR="001447C4" w:rsidRPr="005E012A">
        <w:rPr>
          <w:rFonts w:ascii="Calibri" w:hAnsi="Calibri" w:cs="Calibri"/>
          <w:i/>
          <w:iCs/>
          <w:sz w:val="22"/>
          <w:szCs w:val="22"/>
        </w:rPr>
        <w:t xml:space="preserve"> bir portföy mimarisi oluşturmak oldu.</w:t>
      </w:r>
      <w:r w:rsidR="00FE7368" w:rsidRPr="005E012A">
        <w:rPr>
          <w:rFonts w:ascii="Calibri" w:hAnsi="Calibri" w:cs="Calibri"/>
          <w:i/>
          <w:iCs/>
          <w:sz w:val="22"/>
          <w:szCs w:val="22"/>
        </w:rPr>
        <w:t xml:space="preserve"> </w:t>
      </w:r>
      <w:r w:rsidR="001447C4" w:rsidRPr="005E012A">
        <w:rPr>
          <w:rFonts w:ascii="Calibri" w:hAnsi="Calibri" w:cs="Calibri"/>
          <w:i/>
          <w:iCs/>
          <w:sz w:val="22"/>
          <w:szCs w:val="22"/>
        </w:rPr>
        <w:t xml:space="preserve">Hibrit </w:t>
      </w:r>
      <w:r w:rsidR="00B36589">
        <w:rPr>
          <w:rFonts w:ascii="Calibri" w:hAnsi="Calibri" w:cs="Calibri"/>
          <w:i/>
          <w:iCs/>
          <w:sz w:val="22"/>
          <w:szCs w:val="22"/>
        </w:rPr>
        <w:t>projelerimizle</w:t>
      </w:r>
      <w:r w:rsidR="001447C4" w:rsidRPr="005E012A">
        <w:rPr>
          <w:rFonts w:ascii="Calibri" w:hAnsi="Calibri" w:cs="Calibri"/>
          <w:i/>
          <w:iCs/>
          <w:sz w:val="22"/>
          <w:szCs w:val="22"/>
        </w:rPr>
        <w:t xml:space="preserve"> sistem esnekliğini </w:t>
      </w:r>
      <w:r w:rsidR="00B36589">
        <w:rPr>
          <w:rFonts w:ascii="Calibri" w:hAnsi="Calibri" w:cs="Calibri"/>
          <w:i/>
          <w:iCs/>
          <w:sz w:val="22"/>
          <w:szCs w:val="22"/>
        </w:rPr>
        <w:t>desteklerke</w:t>
      </w:r>
      <w:r w:rsidR="001447C4" w:rsidRPr="005E012A">
        <w:rPr>
          <w:rFonts w:ascii="Calibri" w:hAnsi="Calibri" w:cs="Calibri"/>
          <w:i/>
          <w:iCs/>
          <w:sz w:val="22"/>
          <w:szCs w:val="22"/>
        </w:rPr>
        <w:t xml:space="preserve">n, </w:t>
      </w:r>
      <w:r w:rsidR="00B36589" w:rsidRPr="00B36589">
        <w:rPr>
          <w:rFonts w:ascii="Calibri" w:hAnsi="Calibri" w:cs="Calibri"/>
          <w:i/>
          <w:iCs/>
          <w:sz w:val="22"/>
          <w:szCs w:val="22"/>
        </w:rPr>
        <w:t xml:space="preserve">depolama alanında ise teknik, idari ve planlama çalışmalarımızı sürdürüyoruz. </w:t>
      </w:r>
      <w:r w:rsidR="00B36589">
        <w:rPr>
          <w:rFonts w:ascii="Calibri" w:hAnsi="Calibri" w:cs="Calibri"/>
          <w:i/>
          <w:iCs/>
          <w:sz w:val="22"/>
          <w:szCs w:val="22"/>
        </w:rPr>
        <w:t xml:space="preserve">Aynı zamanda </w:t>
      </w:r>
      <w:r w:rsidR="001447C4" w:rsidRPr="005E012A">
        <w:rPr>
          <w:rFonts w:ascii="Calibri" w:hAnsi="Calibri" w:cs="Calibri"/>
          <w:i/>
          <w:iCs/>
          <w:sz w:val="22"/>
          <w:szCs w:val="22"/>
        </w:rPr>
        <w:t>dijitalleşme ve yapay zek</w:t>
      </w:r>
      <w:r w:rsidR="00FE7368" w:rsidRPr="005E012A">
        <w:rPr>
          <w:rFonts w:ascii="Calibri" w:hAnsi="Calibri" w:cs="Calibri"/>
          <w:i/>
          <w:iCs/>
          <w:sz w:val="22"/>
          <w:szCs w:val="22"/>
        </w:rPr>
        <w:t>a</w:t>
      </w:r>
      <w:r w:rsidR="001447C4" w:rsidRPr="005E012A">
        <w:rPr>
          <w:rFonts w:ascii="Calibri" w:hAnsi="Calibri" w:cs="Calibri"/>
          <w:i/>
          <w:iCs/>
          <w:sz w:val="22"/>
          <w:szCs w:val="22"/>
        </w:rPr>
        <w:t xml:space="preserve"> destekli uygulamalarla üretimden dağıtıma kadar tüm süreçlerde verimliliği ve karar alma hızını artır</w:t>
      </w:r>
      <w:r w:rsidR="00B36589">
        <w:rPr>
          <w:rFonts w:ascii="Calibri" w:hAnsi="Calibri" w:cs="Calibri"/>
          <w:i/>
          <w:iCs/>
          <w:sz w:val="22"/>
          <w:szCs w:val="22"/>
        </w:rPr>
        <w:t>maya odaklanıyoruz</w:t>
      </w:r>
      <w:r w:rsidR="001447C4" w:rsidRPr="005E012A">
        <w:rPr>
          <w:rFonts w:ascii="Calibri" w:hAnsi="Calibri" w:cs="Calibri"/>
          <w:i/>
          <w:iCs/>
          <w:sz w:val="22"/>
          <w:szCs w:val="22"/>
        </w:rPr>
        <w:t>. Enerji sektöründe rekabet avantajının, yalnızca kurulu güçten değil; veriyi doğru okuyabilen, sistemi doğru planlayabilen</w:t>
      </w:r>
      <w:r w:rsidR="00B36589">
        <w:rPr>
          <w:rFonts w:ascii="Calibri" w:hAnsi="Calibri" w:cs="Calibri"/>
          <w:i/>
          <w:iCs/>
          <w:sz w:val="22"/>
          <w:szCs w:val="22"/>
        </w:rPr>
        <w:t xml:space="preserve"> ve operasyonel </w:t>
      </w:r>
      <w:r w:rsidR="00B36589">
        <w:rPr>
          <w:rFonts w:ascii="Calibri" w:hAnsi="Calibri" w:cs="Calibri"/>
          <w:i/>
          <w:iCs/>
          <w:sz w:val="22"/>
          <w:szCs w:val="22"/>
        </w:rPr>
        <w:lastRenderedPageBreak/>
        <w:t>disiplini güçlü</w:t>
      </w:r>
      <w:r w:rsidR="001447C4" w:rsidRPr="005E012A">
        <w:rPr>
          <w:rFonts w:ascii="Calibri" w:hAnsi="Calibri" w:cs="Calibri"/>
          <w:i/>
          <w:iCs/>
          <w:sz w:val="22"/>
          <w:szCs w:val="22"/>
        </w:rPr>
        <w:t xml:space="preserve"> yapılardan geçtiğine inanıyoruz.</w:t>
      </w:r>
      <w:r w:rsidR="00FE7368" w:rsidRPr="005E012A">
        <w:rPr>
          <w:rFonts w:ascii="Calibri" w:hAnsi="Calibri" w:cs="Calibri"/>
          <w:i/>
          <w:iCs/>
          <w:sz w:val="22"/>
          <w:szCs w:val="22"/>
        </w:rPr>
        <w:t xml:space="preserve"> </w:t>
      </w:r>
      <w:r w:rsidR="001447C4" w:rsidRPr="005E012A">
        <w:rPr>
          <w:rFonts w:ascii="Calibri" w:hAnsi="Calibri" w:cs="Calibri"/>
          <w:i/>
          <w:iCs/>
          <w:sz w:val="22"/>
          <w:szCs w:val="22"/>
        </w:rPr>
        <w:t xml:space="preserve">2026 ve sonrasında da Türkiye’de ve faaliyet gösterdiğimiz coğrafyalarda, regülasyonlara uyumlu, sürdürülebilir, ölçeklenebilir ve </w:t>
      </w:r>
      <w:r w:rsidR="00B36589">
        <w:rPr>
          <w:rFonts w:ascii="Calibri" w:hAnsi="Calibri" w:cs="Calibri"/>
          <w:i/>
          <w:iCs/>
          <w:sz w:val="22"/>
          <w:szCs w:val="22"/>
        </w:rPr>
        <w:t>uzun vadeli değer üreten projelerle yolumuza devam edeceğiz.”</w:t>
      </w:r>
    </w:p>
    <w:sectPr w:rsidR="00B36589" w:rsidRPr="00F24B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A539" w14:textId="77777777" w:rsidR="001771E5" w:rsidRDefault="001771E5" w:rsidP="00C576FE">
      <w:pPr>
        <w:spacing w:after="0" w:line="240" w:lineRule="auto"/>
      </w:pPr>
      <w:r>
        <w:separator/>
      </w:r>
    </w:p>
  </w:endnote>
  <w:endnote w:type="continuationSeparator" w:id="0">
    <w:p w14:paraId="43F979B0" w14:textId="77777777" w:rsidR="001771E5" w:rsidRDefault="001771E5" w:rsidP="00C57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30C94" w14:textId="77777777" w:rsidR="001771E5" w:rsidRDefault="001771E5" w:rsidP="00C576FE">
      <w:pPr>
        <w:spacing w:after="0" w:line="240" w:lineRule="auto"/>
      </w:pPr>
      <w:r>
        <w:separator/>
      </w:r>
    </w:p>
  </w:footnote>
  <w:footnote w:type="continuationSeparator" w:id="0">
    <w:p w14:paraId="2222433E" w14:textId="77777777" w:rsidR="001771E5" w:rsidRDefault="001771E5" w:rsidP="00C576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53"/>
    <w:rsid w:val="00010F83"/>
    <w:rsid w:val="0003118B"/>
    <w:rsid w:val="00062DF6"/>
    <w:rsid w:val="00097936"/>
    <w:rsid w:val="000B7DBD"/>
    <w:rsid w:val="000D2FC7"/>
    <w:rsid w:val="000E09C5"/>
    <w:rsid w:val="00100637"/>
    <w:rsid w:val="00122F0D"/>
    <w:rsid w:val="001367A7"/>
    <w:rsid w:val="001447C4"/>
    <w:rsid w:val="00154F53"/>
    <w:rsid w:val="001771E5"/>
    <w:rsid w:val="00196176"/>
    <w:rsid w:val="001F07AF"/>
    <w:rsid w:val="002207D7"/>
    <w:rsid w:val="002B422F"/>
    <w:rsid w:val="002D3D9E"/>
    <w:rsid w:val="0037430A"/>
    <w:rsid w:val="004B3EC4"/>
    <w:rsid w:val="004C4251"/>
    <w:rsid w:val="004E28C1"/>
    <w:rsid w:val="004E4056"/>
    <w:rsid w:val="005410B5"/>
    <w:rsid w:val="0059542A"/>
    <w:rsid w:val="005E012A"/>
    <w:rsid w:val="006048A5"/>
    <w:rsid w:val="00626E7B"/>
    <w:rsid w:val="0065754B"/>
    <w:rsid w:val="006B62A7"/>
    <w:rsid w:val="007202B9"/>
    <w:rsid w:val="00721119"/>
    <w:rsid w:val="00742503"/>
    <w:rsid w:val="007739B0"/>
    <w:rsid w:val="007C6E21"/>
    <w:rsid w:val="00811C66"/>
    <w:rsid w:val="008832BE"/>
    <w:rsid w:val="008F4923"/>
    <w:rsid w:val="00917B30"/>
    <w:rsid w:val="009C017C"/>
    <w:rsid w:val="009F00B9"/>
    <w:rsid w:val="00A55FD6"/>
    <w:rsid w:val="00B36589"/>
    <w:rsid w:val="00C576FE"/>
    <w:rsid w:val="00C84311"/>
    <w:rsid w:val="00CA6E7D"/>
    <w:rsid w:val="00CB7CBD"/>
    <w:rsid w:val="00CC165B"/>
    <w:rsid w:val="00DA319F"/>
    <w:rsid w:val="00E53C7E"/>
    <w:rsid w:val="00EE5BB7"/>
    <w:rsid w:val="00EF512F"/>
    <w:rsid w:val="00F24B53"/>
    <w:rsid w:val="00F26456"/>
    <w:rsid w:val="00F26F01"/>
    <w:rsid w:val="00F60657"/>
    <w:rsid w:val="00F8036D"/>
    <w:rsid w:val="00F80C1F"/>
    <w:rsid w:val="00F96268"/>
    <w:rsid w:val="00F97C18"/>
    <w:rsid w:val="00FE7368"/>
    <w:rsid w:val="5536BA3B"/>
    <w:rsid w:val="5830F1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67B3"/>
  <w15:chartTrackingRefBased/>
  <w15:docId w15:val="{0A3A9253-9EF1-4E3A-9221-2CD9DB2D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24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24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24B5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24B5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24B5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24B5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24B5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24B5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24B5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24B5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24B5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24B5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24B5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24B5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24B5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24B5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24B5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24B53"/>
    <w:rPr>
      <w:rFonts w:eastAsiaTheme="majorEastAsia" w:cstheme="majorBidi"/>
      <w:color w:val="272727" w:themeColor="text1" w:themeTint="D8"/>
    </w:rPr>
  </w:style>
  <w:style w:type="paragraph" w:styleId="KonuBal">
    <w:name w:val="Title"/>
    <w:basedOn w:val="Normal"/>
    <w:next w:val="Normal"/>
    <w:link w:val="KonuBalChar"/>
    <w:uiPriority w:val="10"/>
    <w:qFormat/>
    <w:rsid w:val="00F24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24B5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24B5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24B5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24B5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24B53"/>
    <w:rPr>
      <w:i/>
      <w:iCs/>
      <w:color w:val="404040" w:themeColor="text1" w:themeTint="BF"/>
    </w:rPr>
  </w:style>
  <w:style w:type="paragraph" w:styleId="ListeParagraf">
    <w:name w:val="List Paragraph"/>
    <w:basedOn w:val="Normal"/>
    <w:uiPriority w:val="34"/>
    <w:qFormat/>
    <w:rsid w:val="00F24B53"/>
    <w:pPr>
      <w:ind w:left="720"/>
      <w:contextualSpacing/>
    </w:pPr>
  </w:style>
  <w:style w:type="character" w:styleId="GlVurgulama">
    <w:name w:val="Intense Emphasis"/>
    <w:basedOn w:val="VarsaylanParagrafYazTipi"/>
    <w:uiPriority w:val="21"/>
    <w:qFormat/>
    <w:rsid w:val="00F24B53"/>
    <w:rPr>
      <w:i/>
      <w:iCs/>
      <w:color w:val="0F4761" w:themeColor="accent1" w:themeShade="BF"/>
    </w:rPr>
  </w:style>
  <w:style w:type="paragraph" w:styleId="GlAlnt">
    <w:name w:val="Intense Quote"/>
    <w:basedOn w:val="Normal"/>
    <w:next w:val="Normal"/>
    <w:link w:val="GlAlntChar"/>
    <w:uiPriority w:val="30"/>
    <w:qFormat/>
    <w:rsid w:val="00F24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24B53"/>
    <w:rPr>
      <w:i/>
      <w:iCs/>
      <w:color w:val="0F4761" w:themeColor="accent1" w:themeShade="BF"/>
    </w:rPr>
  </w:style>
  <w:style w:type="character" w:styleId="GlBavuru">
    <w:name w:val="Intense Reference"/>
    <w:basedOn w:val="VarsaylanParagrafYazTipi"/>
    <w:uiPriority w:val="32"/>
    <w:qFormat/>
    <w:rsid w:val="00F24B53"/>
    <w:rPr>
      <w:b/>
      <w:bCs/>
      <w:smallCaps/>
      <w:color w:val="0F4761" w:themeColor="accent1" w:themeShade="BF"/>
      <w:spacing w:val="5"/>
    </w:rPr>
  </w:style>
  <w:style w:type="paragraph" w:styleId="stBilgi">
    <w:name w:val="header"/>
    <w:basedOn w:val="Normal"/>
    <w:link w:val="stBilgiChar"/>
    <w:uiPriority w:val="99"/>
    <w:unhideWhenUsed/>
    <w:rsid w:val="00C576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76FE"/>
  </w:style>
  <w:style w:type="paragraph" w:styleId="AltBilgi">
    <w:name w:val="footer"/>
    <w:basedOn w:val="Normal"/>
    <w:link w:val="AltBilgiChar"/>
    <w:uiPriority w:val="99"/>
    <w:unhideWhenUsed/>
    <w:rsid w:val="00C576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76FE"/>
  </w:style>
  <w:style w:type="paragraph" w:styleId="Dzeltme">
    <w:name w:val="Revision"/>
    <w:hidden/>
    <w:uiPriority w:val="99"/>
    <w:semiHidden/>
    <w:rsid w:val="007C6E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0892">
      <w:bodyDiv w:val="1"/>
      <w:marLeft w:val="0"/>
      <w:marRight w:val="0"/>
      <w:marTop w:val="0"/>
      <w:marBottom w:val="0"/>
      <w:divBdr>
        <w:top w:val="none" w:sz="0" w:space="0" w:color="auto"/>
        <w:left w:val="none" w:sz="0" w:space="0" w:color="auto"/>
        <w:bottom w:val="none" w:sz="0" w:space="0" w:color="auto"/>
        <w:right w:val="none" w:sz="0" w:space="0" w:color="auto"/>
      </w:divBdr>
    </w:div>
    <w:div w:id="20259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d88961e422191fc718478400d0ee6c6c">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4d2add60817245f5043375a33229f47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6CFF1-50DC-4226-82EF-7870B5DCBE64}">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customXml/itemProps2.xml><?xml version="1.0" encoding="utf-8"?>
<ds:datastoreItem xmlns:ds="http://schemas.openxmlformats.org/officeDocument/2006/customXml" ds:itemID="{D8B92304-6A48-46C2-8F55-7711BEA09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93DC7-3894-4776-BF9E-2DD5F5646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986</Words>
  <Characters>5624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Bora</dc:creator>
  <cp:keywords/>
  <dc:description/>
  <cp:lastModifiedBy>Elif Bora</cp:lastModifiedBy>
  <cp:revision>5</cp:revision>
  <dcterms:created xsi:type="dcterms:W3CDTF">2026-01-09T10:45:00Z</dcterms:created>
  <dcterms:modified xsi:type="dcterms:W3CDTF">2026-01-20T06:58:00Z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