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C985" w14:textId="6A2C6AAC" w:rsidR="50FF8E8C" w:rsidRDefault="7C9133A4" w:rsidP="007F11ED">
      <w:pPr>
        <w:spacing w:line="276" w:lineRule="auto"/>
        <w:ind w:left="-851"/>
        <w:rPr>
          <w:rFonts w:ascii="Calibri" w:eastAsia="Calibri" w:hAnsi="Calibri" w:cs="Calibri"/>
          <w:color w:val="000000" w:themeColor="text1"/>
          <w:sz w:val="22"/>
          <w:szCs w:val="22"/>
          <w:lang w:val="en-US"/>
        </w:rPr>
      </w:pPr>
      <w:r w:rsidRPr="05B2D506">
        <w:rPr>
          <w:rFonts w:ascii="Calibri" w:eastAsia="Calibri" w:hAnsi="Calibri" w:cs="Calibri"/>
          <w:color w:val="000000" w:themeColor="text1"/>
          <w:sz w:val="22"/>
          <w:szCs w:val="22"/>
          <w:lang w:val="en-US"/>
        </w:rPr>
        <w:t xml:space="preserve">        </w:t>
      </w:r>
      <w:r w:rsidR="007A5C43">
        <w:rPr>
          <w:noProof/>
        </w:rPr>
        <w:drawing>
          <wp:inline distT="0" distB="0" distL="0" distR="0" wp14:anchorId="1E9B0EC6" wp14:editId="68C5FBEE">
            <wp:extent cx="3620710" cy="493617"/>
            <wp:effectExtent l="0" t="0" r="0" b="1905"/>
            <wp:docPr id="2" name="Resim 2"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yazı tipi, grafik, logo içeren bir resim&#10;&#10;Yapay zeka tarafından oluşturulmuş içerik yanlış olabil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34007" cy="509063"/>
                    </a:xfrm>
                    <a:prstGeom prst="rect">
                      <a:avLst/>
                    </a:prstGeom>
                    <a:noFill/>
                    <a:ln>
                      <a:noFill/>
                    </a:ln>
                  </pic:spPr>
                </pic:pic>
              </a:graphicData>
            </a:graphic>
          </wp:inline>
        </w:drawing>
      </w:r>
      <w:r w:rsidRPr="05B2D506">
        <w:rPr>
          <w:rFonts w:ascii="Calibri" w:eastAsia="Calibri" w:hAnsi="Calibri" w:cs="Calibri"/>
          <w:color w:val="000000" w:themeColor="text1"/>
          <w:sz w:val="22"/>
          <w:szCs w:val="22"/>
          <w:lang w:val="en-US"/>
        </w:rPr>
        <w:t xml:space="preserve">                               </w:t>
      </w:r>
      <w:r w:rsidR="007A5C43">
        <w:rPr>
          <w:rFonts w:ascii="Calibri" w:eastAsia="Calibri" w:hAnsi="Calibri" w:cs="Calibri"/>
          <w:color w:val="000000" w:themeColor="text1"/>
          <w:sz w:val="22"/>
          <w:szCs w:val="22"/>
          <w:lang w:val="en-US"/>
        </w:rPr>
        <w:tab/>
      </w:r>
      <w:r w:rsidR="007A5C43">
        <w:rPr>
          <w:rFonts w:ascii="Calibri" w:eastAsia="Calibri" w:hAnsi="Calibri" w:cs="Calibri"/>
          <w:color w:val="000000" w:themeColor="text1"/>
          <w:sz w:val="22"/>
          <w:szCs w:val="22"/>
          <w:lang w:val="en-US"/>
        </w:rPr>
        <w:tab/>
        <w:t xml:space="preserve"> </w:t>
      </w:r>
      <w:r w:rsidR="00A2114C">
        <w:rPr>
          <w:rFonts w:ascii="Calibri" w:eastAsia="Calibri" w:hAnsi="Calibri" w:cs="Calibri"/>
          <w:color w:val="000000" w:themeColor="text1"/>
          <w:sz w:val="22"/>
          <w:szCs w:val="22"/>
          <w:lang w:val="en-US"/>
        </w:rPr>
        <w:t>24</w:t>
      </w:r>
      <w:r w:rsidR="007A5C43">
        <w:rPr>
          <w:rFonts w:ascii="Calibri" w:eastAsia="Calibri" w:hAnsi="Calibri" w:cs="Calibri"/>
          <w:color w:val="000000" w:themeColor="text1"/>
          <w:sz w:val="22"/>
          <w:szCs w:val="22"/>
          <w:lang w:val="en-US"/>
        </w:rPr>
        <w:t xml:space="preserve"> Mart 2026</w:t>
      </w:r>
      <w:r w:rsidR="007A5C43">
        <w:rPr>
          <w:rFonts w:ascii="Calibri" w:eastAsia="Calibri" w:hAnsi="Calibri" w:cs="Calibri"/>
          <w:color w:val="000000" w:themeColor="text1"/>
          <w:sz w:val="22"/>
          <w:szCs w:val="22"/>
          <w:lang w:val="en-US"/>
        </w:rPr>
        <w:tab/>
      </w:r>
      <w:r w:rsidR="007A5C43">
        <w:rPr>
          <w:rFonts w:ascii="Calibri" w:eastAsia="Calibri" w:hAnsi="Calibri" w:cs="Calibri"/>
          <w:color w:val="000000" w:themeColor="text1"/>
          <w:sz w:val="22"/>
          <w:szCs w:val="22"/>
          <w:lang w:val="en-US"/>
        </w:rPr>
        <w:tab/>
      </w:r>
      <w:r w:rsidRPr="05B2D506">
        <w:rPr>
          <w:rFonts w:ascii="Calibri" w:eastAsia="Calibri" w:hAnsi="Calibri" w:cs="Calibri"/>
          <w:color w:val="000000" w:themeColor="text1"/>
          <w:sz w:val="22"/>
          <w:szCs w:val="22"/>
          <w:lang w:val="en-US"/>
        </w:rPr>
        <w:t xml:space="preserve"> </w:t>
      </w:r>
    </w:p>
    <w:p w14:paraId="75CD623E" w14:textId="306D802F" w:rsidR="00392C0E" w:rsidRDefault="00392C0E" w:rsidP="3CF9B6E9">
      <w:pPr>
        <w:jc w:val="center"/>
        <w:rPr>
          <w:rFonts w:ascii="Calibri" w:hAnsi="Calibri" w:cs="Calibri"/>
          <w:b/>
          <w:bCs/>
          <w:sz w:val="42"/>
          <w:szCs w:val="42"/>
        </w:rPr>
      </w:pPr>
      <w:bookmarkStart w:id="0" w:name="_Hlk208825431"/>
      <w:r w:rsidRPr="3CF9B6E9">
        <w:rPr>
          <w:rFonts w:ascii="Calibri" w:hAnsi="Calibri" w:cs="Calibri"/>
          <w:b/>
          <w:bCs/>
          <w:sz w:val="42"/>
          <w:szCs w:val="42"/>
        </w:rPr>
        <w:t>Cengiz Enerji</w:t>
      </w:r>
      <w:r w:rsidR="324095A1" w:rsidRPr="3CF9B6E9">
        <w:rPr>
          <w:rFonts w:ascii="Calibri" w:hAnsi="Calibri" w:cs="Calibri"/>
          <w:b/>
          <w:bCs/>
          <w:sz w:val="42"/>
          <w:szCs w:val="42"/>
        </w:rPr>
        <w:t>’nin Özbekistan’daki projesine uluslararası finansman ödülü</w:t>
      </w:r>
    </w:p>
    <w:p w14:paraId="322C79AF" w14:textId="533D4A1C" w:rsidR="4B736A04" w:rsidRDefault="4B736A04" w:rsidP="3CF9B6E9">
      <w:pPr>
        <w:jc w:val="center"/>
        <w:rPr>
          <w:rFonts w:ascii="Calibri" w:eastAsia="Aptos" w:hAnsi="Calibri" w:cs="Calibri"/>
          <w:b/>
          <w:bCs/>
          <w:sz w:val="26"/>
          <w:szCs w:val="26"/>
        </w:rPr>
      </w:pPr>
      <w:r w:rsidRPr="3CF9B6E9">
        <w:rPr>
          <w:rFonts w:ascii="Calibri" w:eastAsia="Calibri" w:hAnsi="Calibri" w:cs="Calibri"/>
          <w:b/>
          <w:bCs/>
          <w:color w:val="1C2B28"/>
          <w:sz w:val="26"/>
          <w:szCs w:val="26"/>
        </w:rPr>
        <w:t xml:space="preserve">Türkiye’nin enerji sektöründeki lider kuruluşlarından Cengiz Enerji’nin grup şirketi Cenergo, Özbekistan’da yapımını sürdürdüğü </w:t>
      </w:r>
      <w:r w:rsidRPr="3CF9B6E9">
        <w:rPr>
          <w:rFonts w:ascii="Calibri" w:eastAsia="Calibri" w:hAnsi="Calibri" w:cs="Calibri"/>
          <w:b/>
          <w:bCs/>
          <w:sz w:val="26"/>
          <w:szCs w:val="26"/>
        </w:rPr>
        <w:t>Cizzak Doğalgaz Kombine Çevrim Santrali’</w:t>
      </w:r>
      <w:r w:rsidRPr="3CF9B6E9">
        <w:rPr>
          <w:rFonts w:ascii="Calibri" w:hAnsi="Calibri" w:cs="Calibri"/>
          <w:b/>
          <w:bCs/>
          <w:sz w:val="26"/>
          <w:szCs w:val="26"/>
        </w:rPr>
        <w:t xml:space="preserve">nin başarıyla tamamlanan finansal kapanışı ile ödüle layık görüldü. </w:t>
      </w:r>
      <w:r w:rsidR="001638B0">
        <w:rPr>
          <w:rFonts w:ascii="Calibri" w:hAnsi="Calibri" w:cs="Calibri"/>
          <w:b/>
          <w:bCs/>
          <w:sz w:val="26"/>
          <w:szCs w:val="26"/>
        </w:rPr>
        <w:t>Cizzak finansmanı</w:t>
      </w:r>
      <w:r w:rsidR="00410DF6">
        <w:rPr>
          <w:rFonts w:ascii="Calibri" w:hAnsi="Calibri" w:cs="Calibri"/>
          <w:b/>
          <w:bCs/>
          <w:sz w:val="26"/>
          <w:szCs w:val="26"/>
        </w:rPr>
        <w:t>;</w:t>
      </w:r>
      <w:r w:rsidR="001638B0">
        <w:rPr>
          <w:rFonts w:ascii="Calibri" w:hAnsi="Calibri" w:cs="Calibri"/>
          <w:b/>
          <w:bCs/>
          <w:sz w:val="26"/>
          <w:szCs w:val="26"/>
        </w:rPr>
        <w:t xml:space="preserve"> </w:t>
      </w:r>
      <w:r w:rsidR="3DCD60C9" w:rsidRPr="3CF9B6E9">
        <w:rPr>
          <w:rFonts w:ascii="Calibri" w:hAnsi="Calibri" w:cs="Calibri"/>
          <w:b/>
          <w:bCs/>
          <w:sz w:val="26"/>
          <w:szCs w:val="26"/>
        </w:rPr>
        <w:t>altyapı finansmanı sektöründe faaliyet gösteren uluslararası şirket Proximo tarafından</w:t>
      </w:r>
      <w:r w:rsidR="0086001B">
        <w:rPr>
          <w:rFonts w:ascii="Calibri" w:hAnsi="Calibri" w:cs="Calibri"/>
          <w:b/>
          <w:bCs/>
          <w:sz w:val="26"/>
          <w:szCs w:val="26"/>
        </w:rPr>
        <w:t xml:space="preserve"> 2025 yılının </w:t>
      </w:r>
      <w:r w:rsidR="3DCD60C9" w:rsidRPr="3CF9B6E9">
        <w:rPr>
          <w:rFonts w:ascii="Calibri" w:hAnsi="Calibri" w:cs="Calibri"/>
          <w:b/>
          <w:bCs/>
          <w:sz w:val="26"/>
          <w:szCs w:val="26"/>
        </w:rPr>
        <w:t>‘</w:t>
      </w:r>
      <w:r w:rsidR="29087856" w:rsidRPr="3CF9B6E9">
        <w:rPr>
          <w:rFonts w:ascii="Calibri" w:hAnsi="Calibri" w:cs="Calibri"/>
          <w:b/>
          <w:bCs/>
          <w:sz w:val="26"/>
          <w:szCs w:val="26"/>
        </w:rPr>
        <w:t>Asya</w:t>
      </w:r>
      <w:r w:rsidR="004F3CC9">
        <w:rPr>
          <w:rFonts w:ascii="Calibri" w:hAnsi="Calibri" w:cs="Calibri"/>
          <w:b/>
          <w:bCs/>
          <w:sz w:val="26"/>
          <w:szCs w:val="26"/>
        </w:rPr>
        <w:t xml:space="preserve"> </w:t>
      </w:r>
      <w:r w:rsidR="29087856" w:rsidRPr="3CF9B6E9">
        <w:rPr>
          <w:rFonts w:ascii="Calibri" w:hAnsi="Calibri" w:cs="Calibri"/>
          <w:b/>
          <w:bCs/>
          <w:sz w:val="26"/>
          <w:szCs w:val="26"/>
        </w:rPr>
        <w:t xml:space="preserve">- Pasifik Enerji’ </w:t>
      </w:r>
      <w:r w:rsidR="0086001B">
        <w:rPr>
          <w:rFonts w:ascii="Calibri" w:hAnsi="Calibri" w:cs="Calibri"/>
          <w:b/>
          <w:bCs/>
          <w:sz w:val="26"/>
          <w:szCs w:val="26"/>
        </w:rPr>
        <w:t>işlemi olarak seçil</w:t>
      </w:r>
      <w:r w:rsidR="00410DF6">
        <w:rPr>
          <w:rFonts w:ascii="Calibri" w:hAnsi="Calibri" w:cs="Calibri"/>
          <w:b/>
          <w:bCs/>
          <w:sz w:val="26"/>
          <w:szCs w:val="26"/>
        </w:rPr>
        <w:t xml:space="preserve">di. </w:t>
      </w:r>
      <w:r w:rsidR="0086001B">
        <w:rPr>
          <w:rFonts w:ascii="Calibri" w:hAnsi="Calibri" w:cs="Calibri"/>
          <w:b/>
          <w:bCs/>
          <w:sz w:val="26"/>
          <w:szCs w:val="26"/>
        </w:rPr>
        <w:t>F</w:t>
      </w:r>
      <w:r w:rsidR="072E650C" w:rsidRPr="3CF9B6E9">
        <w:rPr>
          <w:rFonts w:ascii="Calibri" w:hAnsi="Calibri" w:cs="Calibri"/>
          <w:b/>
          <w:bCs/>
          <w:sz w:val="26"/>
          <w:szCs w:val="26"/>
        </w:rPr>
        <w:t xml:space="preserve">inansal kapanışı gerçekleştirilen </w:t>
      </w:r>
      <w:r w:rsidR="00410DF6" w:rsidRPr="3CF9B6E9">
        <w:rPr>
          <w:rFonts w:ascii="Calibri" w:hAnsi="Calibri" w:cs="Calibri"/>
          <w:b/>
          <w:bCs/>
          <w:sz w:val="26"/>
          <w:szCs w:val="26"/>
        </w:rPr>
        <w:t>t</w:t>
      </w:r>
      <w:r w:rsidR="00410DF6" w:rsidRPr="3CF9B6E9">
        <w:rPr>
          <w:rFonts w:ascii="Calibri" w:eastAsia="Aptos" w:hAnsi="Calibri" w:cs="Calibri"/>
          <w:b/>
          <w:bCs/>
          <w:sz w:val="26"/>
          <w:szCs w:val="26"/>
        </w:rPr>
        <w:t>oplam 164,25 milyon Euro tutarında</w:t>
      </w:r>
      <w:r w:rsidR="00410DF6">
        <w:rPr>
          <w:rFonts w:ascii="Calibri" w:eastAsia="Aptos" w:hAnsi="Calibri" w:cs="Calibri"/>
          <w:b/>
          <w:bCs/>
          <w:sz w:val="26"/>
          <w:szCs w:val="26"/>
        </w:rPr>
        <w:t>ki</w:t>
      </w:r>
      <w:r w:rsidR="00410DF6" w:rsidRPr="3CF9B6E9">
        <w:rPr>
          <w:rFonts w:ascii="Calibri" w:hAnsi="Calibri" w:cs="Calibri"/>
          <w:b/>
          <w:bCs/>
          <w:sz w:val="26"/>
          <w:szCs w:val="26"/>
        </w:rPr>
        <w:t xml:space="preserve"> </w:t>
      </w:r>
      <w:r w:rsidR="072E650C" w:rsidRPr="3CF9B6E9">
        <w:rPr>
          <w:rFonts w:ascii="Calibri" w:hAnsi="Calibri" w:cs="Calibri"/>
          <w:b/>
          <w:bCs/>
          <w:sz w:val="26"/>
          <w:szCs w:val="26"/>
        </w:rPr>
        <w:t xml:space="preserve">kredi, </w:t>
      </w:r>
      <w:r w:rsidR="29087856" w:rsidRPr="3CF9B6E9">
        <w:rPr>
          <w:rFonts w:ascii="Calibri" w:eastAsia="Aptos" w:hAnsi="Calibri" w:cs="Calibri"/>
          <w:b/>
          <w:bCs/>
          <w:sz w:val="26"/>
          <w:szCs w:val="26"/>
        </w:rPr>
        <w:t>DZ BANK ve DenizBank AG tarafından Euler Hermes ihracat kredi sigortası güvencesiyle sağlan</w:t>
      </w:r>
      <w:r w:rsidR="00410DF6">
        <w:rPr>
          <w:rFonts w:ascii="Calibri" w:eastAsia="Aptos" w:hAnsi="Calibri" w:cs="Calibri"/>
          <w:b/>
          <w:bCs/>
          <w:sz w:val="26"/>
          <w:szCs w:val="26"/>
        </w:rPr>
        <w:t>dı</w:t>
      </w:r>
      <w:r w:rsidR="29087856" w:rsidRPr="3CF9B6E9">
        <w:rPr>
          <w:rFonts w:ascii="Calibri" w:eastAsia="Aptos" w:hAnsi="Calibri" w:cs="Calibri"/>
          <w:b/>
          <w:bCs/>
          <w:sz w:val="26"/>
          <w:szCs w:val="26"/>
        </w:rPr>
        <w:t xml:space="preserve">.  </w:t>
      </w:r>
    </w:p>
    <w:p w14:paraId="6F11539A" w14:textId="761B01A1" w:rsidR="00392C0E" w:rsidRPr="00A11AE5" w:rsidRDefault="00392C0E" w:rsidP="00A11AE5">
      <w:pPr>
        <w:jc w:val="both"/>
        <w:rPr>
          <w:rFonts w:ascii="Calibri" w:hAnsi="Calibri" w:cs="Calibri"/>
          <w:sz w:val="22"/>
          <w:szCs w:val="22"/>
        </w:rPr>
      </w:pPr>
      <w:r w:rsidRPr="3CF9B6E9">
        <w:rPr>
          <w:rFonts w:ascii="Calibri" w:hAnsi="Calibri" w:cs="Calibri"/>
          <w:sz w:val="22"/>
          <w:szCs w:val="22"/>
        </w:rPr>
        <w:t>Cengiz Enerji’nin grup şirketi Cenergo</w:t>
      </w:r>
      <w:r w:rsidR="18878A38" w:rsidRPr="3CF9B6E9">
        <w:rPr>
          <w:rFonts w:ascii="Calibri" w:hAnsi="Calibri" w:cs="Calibri"/>
          <w:sz w:val="22"/>
          <w:szCs w:val="22"/>
        </w:rPr>
        <w:t xml:space="preserve"> tarafından finansman kapanışı başarıyla tamamlanan ve </w:t>
      </w:r>
      <w:r w:rsidRPr="3CF9B6E9">
        <w:rPr>
          <w:rFonts w:ascii="Calibri" w:hAnsi="Calibri" w:cs="Calibri"/>
          <w:sz w:val="22"/>
          <w:szCs w:val="22"/>
        </w:rPr>
        <w:t>Özbekistan’daki en büyük enerji projelerinden biri olan Cizzak Doğalgaz Kombine Çevrim Santrali</w:t>
      </w:r>
      <w:r w:rsidR="0BAF2974" w:rsidRPr="3CF9B6E9">
        <w:rPr>
          <w:rFonts w:ascii="Calibri" w:hAnsi="Calibri" w:cs="Calibri"/>
          <w:sz w:val="22"/>
          <w:szCs w:val="22"/>
        </w:rPr>
        <w:t>,</w:t>
      </w:r>
      <w:r w:rsidR="519EA6EB" w:rsidRPr="3CF9B6E9">
        <w:rPr>
          <w:rFonts w:ascii="Calibri" w:hAnsi="Calibri" w:cs="Calibri"/>
          <w:sz w:val="22"/>
          <w:szCs w:val="22"/>
        </w:rPr>
        <w:t xml:space="preserve"> </w:t>
      </w:r>
      <w:r w:rsidR="4D406BDB" w:rsidRPr="3CF9B6E9">
        <w:rPr>
          <w:rFonts w:ascii="Calibri" w:hAnsi="Calibri" w:cs="Calibri"/>
          <w:sz w:val="22"/>
          <w:szCs w:val="22"/>
        </w:rPr>
        <w:t>proje ve altyapı finansmanı sektöründe faaliyet gösteren uluslararası</w:t>
      </w:r>
      <w:r w:rsidR="29E58994" w:rsidRPr="3CF9B6E9">
        <w:rPr>
          <w:rFonts w:ascii="Calibri" w:hAnsi="Calibri" w:cs="Calibri"/>
          <w:sz w:val="22"/>
          <w:szCs w:val="22"/>
        </w:rPr>
        <w:t xml:space="preserve"> </w:t>
      </w:r>
      <w:r w:rsidR="00A11AE5">
        <w:rPr>
          <w:rFonts w:ascii="Calibri" w:hAnsi="Calibri" w:cs="Calibri"/>
          <w:sz w:val="22"/>
          <w:szCs w:val="22"/>
        </w:rPr>
        <w:t xml:space="preserve">şirket </w:t>
      </w:r>
      <w:r w:rsidR="3F5969C3" w:rsidRPr="3CF9B6E9">
        <w:rPr>
          <w:rFonts w:ascii="Calibri" w:hAnsi="Calibri" w:cs="Calibri"/>
          <w:sz w:val="22"/>
          <w:szCs w:val="22"/>
        </w:rPr>
        <w:t>Proximo tarafında</w:t>
      </w:r>
      <w:r w:rsidR="36E2F948" w:rsidRPr="3CF9B6E9">
        <w:rPr>
          <w:rFonts w:ascii="Calibri" w:hAnsi="Calibri" w:cs="Calibri"/>
          <w:sz w:val="22"/>
          <w:szCs w:val="22"/>
        </w:rPr>
        <w:t>n ödüllendirildi.</w:t>
      </w:r>
      <w:r w:rsidR="004F3CC9">
        <w:rPr>
          <w:rFonts w:ascii="Calibri" w:hAnsi="Calibri" w:cs="Calibri"/>
          <w:sz w:val="22"/>
          <w:szCs w:val="22"/>
        </w:rPr>
        <w:t xml:space="preserve"> </w:t>
      </w:r>
      <w:r w:rsidR="00766BAF">
        <w:rPr>
          <w:rFonts w:ascii="Calibri" w:eastAsia="Calibri" w:hAnsi="Calibri" w:cs="Calibri"/>
          <w:sz w:val="22"/>
          <w:szCs w:val="22"/>
        </w:rPr>
        <w:t xml:space="preserve">Özbekistan’ın </w:t>
      </w:r>
      <w:r w:rsidR="00A11AE5">
        <w:rPr>
          <w:rFonts w:ascii="Calibri" w:eastAsia="Calibri" w:hAnsi="Calibri" w:cs="Calibri"/>
          <w:sz w:val="22"/>
          <w:szCs w:val="22"/>
        </w:rPr>
        <w:t xml:space="preserve">Cizzak kentinde </w:t>
      </w:r>
      <w:r w:rsidR="64C7D285" w:rsidRPr="3CF9B6E9">
        <w:rPr>
          <w:rFonts w:ascii="Calibri" w:eastAsia="Calibri" w:hAnsi="Calibri" w:cs="Calibri"/>
          <w:sz w:val="22"/>
          <w:szCs w:val="22"/>
        </w:rPr>
        <w:t>yer alan</w:t>
      </w:r>
      <w:r w:rsidR="3C96DD75" w:rsidRPr="3CF9B6E9">
        <w:rPr>
          <w:rFonts w:ascii="Calibri" w:eastAsia="Calibri" w:hAnsi="Calibri" w:cs="Calibri"/>
          <w:sz w:val="22"/>
          <w:szCs w:val="22"/>
        </w:rPr>
        <w:t xml:space="preserve"> 550 MW kapasiteli Kombine Çevrim Gaz Türbini santrali, </w:t>
      </w:r>
      <w:r w:rsidR="00766BAF">
        <w:rPr>
          <w:rFonts w:ascii="Calibri" w:eastAsia="Calibri" w:hAnsi="Calibri" w:cs="Calibri"/>
          <w:sz w:val="22"/>
          <w:szCs w:val="22"/>
        </w:rPr>
        <w:t>ülkenin</w:t>
      </w:r>
      <w:r w:rsidR="00766BAF" w:rsidRPr="3CF9B6E9">
        <w:rPr>
          <w:rFonts w:ascii="Calibri" w:eastAsia="Calibri" w:hAnsi="Calibri" w:cs="Calibri"/>
          <w:sz w:val="22"/>
          <w:szCs w:val="22"/>
        </w:rPr>
        <w:t xml:space="preserve"> </w:t>
      </w:r>
      <w:r w:rsidR="3C96DD75" w:rsidRPr="3CF9B6E9">
        <w:rPr>
          <w:rFonts w:ascii="Calibri" w:eastAsia="Calibri" w:hAnsi="Calibri" w:cs="Calibri"/>
          <w:sz w:val="22"/>
          <w:szCs w:val="22"/>
        </w:rPr>
        <w:t>enerji arz güvenliğinin güçlendirilmesine katkı sağlarken aynı zamanda enerji dönüşümü hedefleri açısından da önemli bir rol üstlen</w:t>
      </w:r>
      <w:r w:rsidR="0013236D">
        <w:rPr>
          <w:rFonts w:ascii="Calibri" w:eastAsia="Calibri" w:hAnsi="Calibri" w:cs="Calibri"/>
          <w:sz w:val="22"/>
          <w:szCs w:val="22"/>
        </w:rPr>
        <w:t>ecek</w:t>
      </w:r>
      <w:r w:rsidR="0013236D" w:rsidRPr="00815345">
        <w:rPr>
          <w:rFonts w:ascii="Calibri" w:eastAsia="Calibri" w:hAnsi="Calibri" w:cs="Calibri"/>
          <w:sz w:val="22"/>
          <w:szCs w:val="22"/>
        </w:rPr>
        <w:t>. Yılın son çeyreğinde devreye alınmayı planlanan p</w:t>
      </w:r>
      <w:r w:rsidR="1041ED0B" w:rsidRPr="00815345">
        <w:rPr>
          <w:rFonts w:ascii="Calibri" w:eastAsia="Calibri" w:hAnsi="Calibri" w:cs="Calibri"/>
          <w:sz w:val="22"/>
          <w:szCs w:val="22"/>
        </w:rPr>
        <w:t>rojenin</w:t>
      </w:r>
      <w:r w:rsidR="1041ED0B" w:rsidRPr="3CF9B6E9">
        <w:rPr>
          <w:rFonts w:ascii="Calibri" w:eastAsia="Calibri" w:hAnsi="Calibri" w:cs="Calibri"/>
          <w:sz w:val="22"/>
          <w:szCs w:val="22"/>
        </w:rPr>
        <w:t xml:space="preserve"> finansmanı, DZ BANK ve DenizBank AG tarafından sağlanan ve Euler Hermes’in ihracat kredi sigortası (ECA cover) kapsamında güvence altına alınan 164,25 milyon Euro tutarındaki uzun vadeli yatırım kredisiyle sağlanıyor. </w:t>
      </w:r>
    </w:p>
    <w:p w14:paraId="555DE1E5" w14:textId="18C276DE" w:rsidR="00350200" w:rsidRDefault="00350200" w:rsidP="00B579D5">
      <w:pPr>
        <w:jc w:val="both"/>
        <w:rPr>
          <w:rFonts w:ascii="Calibri" w:hAnsi="Calibri" w:cs="Calibri"/>
          <w:b/>
          <w:bCs/>
          <w:sz w:val="22"/>
          <w:szCs w:val="22"/>
        </w:rPr>
      </w:pPr>
      <w:r>
        <w:rPr>
          <w:rFonts w:ascii="Calibri" w:hAnsi="Calibri" w:cs="Calibri"/>
          <w:b/>
          <w:bCs/>
          <w:sz w:val="22"/>
          <w:szCs w:val="22"/>
        </w:rPr>
        <w:t>‘</w:t>
      </w:r>
      <w:r w:rsidRPr="00392C0E">
        <w:rPr>
          <w:rFonts w:ascii="Calibri" w:hAnsi="Calibri" w:cs="Calibri"/>
          <w:b/>
          <w:bCs/>
          <w:sz w:val="22"/>
          <w:szCs w:val="22"/>
        </w:rPr>
        <w:t>F</w:t>
      </w:r>
      <w:r>
        <w:rPr>
          <w:rFonts w:ascii="Calibri" w:hAnsi="Calibri" w:cs="Calibri"/>
          <w:b/>
          <w:bCs/>
          <w:sz w:val="22"/>
          <w:szCs w:val="22"/>
        </w:rPr>
        <w:t>İNANSAL YAPISIYLA ÖNCÜ BİR PROJE’</w:t>
      </w:r>
    </w:p>
    <w:p w14:paraId="0DAFF42C" w14:textId="4AFC056F" w:rsidR="00350200" w:rsidRDefault="00350200" w:rsidP="00766BAF">
      <w:pPr>
        <w:jc w:val="both"/>
        <w:rPr>
          <w:rFonts w:ascii="Calibri" w:hAnsi="Calibri" w:cs="Calibri"/>
          <w:sz w:val="22"/>
          <w:szCs w:val="22"/>
        </w:rPr>
      </w:pPr>
      <w:r w:rsidRPr="3CF9B6E9">
        <w:rPr>
          <w:rFonts w:ascii="Calibri" w:hAnsi="Calibri" w:cs="Calibri"/>
          <w:b/>
          <w:bCs/>
          <w:sz w:val="22"/>
          <w:szCs w:val="22"/>
        </w:rPr>
        <w:t>Cengiz Holding Yönetim Kurulu Danışmanı Arzu Özgiray</w:t>
      </w:r>
      <w:r w:rsidRPr="3CF9B6E9">
        <w:rPr>
          <w:rFonts w:ascii="Calibri" w:hAnsi="Calibri" w:cs="Calibri"/>
          <w:sz w:val="22"/>
          <w:szCs w:val="22"/>
        </w:rPr>
        <w:t xml:space="preserve">, </w:t>
      </w:r>
      <w:r w:rsidR="00766BAF" w:rsidRPr="004F3CC9">
        <w:rPr>
          <w:rFonts w:ascii="Calibri" w:hAnsi="Calibri" w:cs="Calibri"/>
          <w:sz w:val="22"/>
          <w:szCs w:val="22"/>
        </w:rPr>
        <w:t>Proximo ödülleri</w:t>
      </w:r>
      <w:r w:rsidR="00766BAF">
        <w:rPr>
          <w:rFonts w:ascii="Calibri" w:hAnsi="Calibri" w:cs="Calibri"/>
          <w:sz w:val="22"/>
          <w:szCs w:val="22"/>
        </w:rPr>
        <w:t xml:space="preserve">nin </w:t>
      </w:r>
      <w:r w:rsidR="00766BAF" w:rsidRPr="004F3CC9">
        <w:rPr>
          <w:rFonts w:ascii="Calibri" w:hAnsi="Calibri" w:cs="Calibri"/>
          <w:sz w:val="22"/>
          <w:szCs w:val="22"/>
        </w:rPr>
        <w:t>proje ve altyapı finansmanı sektöründe yılın en başarılı işlemlerini seçen saygın ödüllerden biri ol</w:t>
      </w:r>
      <w:r w:rsidR="00A11AE5">
        <w:rPr>
          <w:rFonts w:ascii="Calibri" w:hAnsi="Calibri" w:cs="Calibri"/>
          <w:sz w:val="22"/>
          <w:szCs w:val="22"/>
        </w:rPr>
        <w:t>duğunu</w:t>
      </w:r>
      <w:r w:rsidR="00766BAF">
        <w:rPr>
          <w:rFonts w:ascii="Calibri" w:hAnsi="Calibri" w:cs="Calibri"/>
          <w:sz w:val="22"/>
          <w:szCs w:val="22"/>
        </w:rPr>
        <w:t xml:space="preserve"> dile getirerek şunları söyledi: “Ödül değerlendirmeleri </w:t>
      </w:r>
      <w:r w:rsidR="00766BAF" w:rsidRPr="004F3CC9">
        <w:rPr>
          <w:rFonts w:ascii="Calibri" w:hAnsi="Calibri" w:cs="Calibri"/>
          <w:sz w:val="22"/>
          <w:szCs w:val="22"/>
        </w:rPr>
        <w:t>genellikle işlemin finansal yapısı, yenilikçi yönleri ve piyasaya etkisi gibi kriterlere göre yapılıyor. Bu nedenle sektörde önemli bir referans olarak görülüyor.</w:t>
      </w:r>
      <w:r w:rsidR="00766BAF">
        <w:rPr>
          <w:rFonts w:ascii="Calibri" w:hAnsi="Calibri" w:cs="Calibri"/>
          <w:sz w:val="22"/>
          <w:szCs w:val="22"/>
        </w:rPr>
        <w:t xml:space="preserve"> </w:t>
      </w:r>
      <w:r w:rsidRPr="3CF9B6E9">
        <w:rPr>
          <w:rFonts w:ascii="Calibri" w:hAnsi="Calibri" w:cs="Calibri"/>
          <w:sz w:val="22"/>
          <w:szCs w:val="22"/>
        </w:rPr>
        <w:t>Cizzak Doğalgaz Kombine Çevrim Santrali</w:t>
      </w:r>
      <w:r w:rsidR="00766BAF">
        <w:rPr>
          <w:rFonts w:ascii="Calibri" w:hAnsi="Calibri" w:cs="Calibri"/>
          <w:sz w:val="22"/>
          <w:szCs w:val="22"/>
        </w:rPr>
        <w:t xml:space="preserve"> projemiz</w:t>
      </w:r>
      <w:r w:rsidRPr="3CF9B6E9">
        <w:rPr>
          <w:rFonts w:ascii="Calibri" w:hAnsi="Calibri" w:cs="Calibri"/>
          <w:sz w:val="22"/>
          <w:szCs w:val="22"/>
        </w:rPr>
        <w:t xml:space="preserve">, finansal yapısıyla olduğu kadar teknoloji ve sürdürülebilirlik açısından da öncü bir proje oldu. Santralimiz, yüksek verimli gaz türbinleriyle çalışarak enerji üretiminde maksimum verimlilik sağlarken, ileride </w:t>
      </w:r>
      <w:r w:rsidR="004F3CC9" w:rsidRPr="004F3CC9">
        <w:rPr>
          <w:rFonts w:ascii="Calibri" w:hAnsi="Calibri" w:cs="Calibri"/>
          <w:sz w:val="22"/>
          <w:szCs w:val="22"/>
        </w:rPr>
        <w:t xml:space="preserve">gerekli yatırımlar tamamlandığında </w:t>
      </w:r>
      <w:r w:rsidR="00A11AE5">
        <w:rPr>
          <w:rFonts w:ascii="Calibri" w:hAnsi="Calibri" w:cs="Calibri"/>
          <w:sz w:val="22"/>
          <w:szCs w:val="22"/>
        </w:rPr>
        <w:t>%</w:t>
      </w:r>
      <w:r w:rsidR="004F3CC9">
        <w:rPr>
          <w:rFonts w:ascii="Calibri" w:hAnsi="Calibri" w:cs="Calibri"/>
          <w:sz w:val="22"/>
          <w:szCs w:val="22"/>
        </w:rPr>
        <w:t xml:space="preserve">50 </w:t>
      </w:r>
      <w:r w:rsidRPr="3CF9B6E9">
        <w:rPr>
          <w:rFonts w:ascii="Calibri" w:hAnsi="Calibri" w:cs="Calibri"/>
          <w:sz w:val="22"/>
          <w:szCs w:val="22"/>
        </w:rPr>
        <w:t>hidrojen kullanımına hazır</w:t>
      </w:r>
      <w:r w:rsidR="004F3CC9">
        <w:rPr>
          <w:rFonts w:ascii="Calibri" w:hAnsi="Calibri" w:cs="Calibri"/>
          <w:sz w:val="22"/>
          <w:szCs w:val="22"/>
        </w:rPr>
        <w:t xml:space="preserve"> olacak</w:t>
      </w:r>
      <w:r w:rsidRPr="3CF9B6E9">
        <w:rPr>
          <w:rFonts w:ascii="Calibri" w:hAnsi="Calibri" w:cs="Calibri"/>
          <w:sz w:val="22"/>
          <w:szCs w:val="22"/>
        </w:rPr>
        <w:t xml:space="preserve"> altyapısıyla geleceğin enerji sistemlerine uyum göste</w:t>
      </w:r>
      <w:r w:rsidR="00A11AE5">
        <w:rPr>
          <w:rFonts w:ascii="Calibri" w:hAnsi="Calibri" w:cs="Calibri"/>
          <w:sz w:val="22"/>
          <w:szCs w:val="22"/>
        </w:rPr>
        <w:t>recek</w:t>
      </w:r>
      <w:r w:rsidRPr="3CF9B6E9">
        <w:rPr>
          <w:rFonts w:ascii="Calibri" w:hAnsi="Calibri" w:cs="Calibri"/>
          <w:sz w:val="22"/>
          <w:szCs w:val="22"/>
        </w:rPr>
        <w:t xml:space="preserve">. </w:t>
      </w:r>
      <w:r w:rsidR="00A11AE5">
        <w:rPr>
          <w:rFonts w:ascii="Calibri" w:hAnsi="Calibri" w:cs="Calibri"/>
          <w:sz w:val="22"/>
          <w:szCs w:val="22"/>
        </w:rPr>
        <w:t xml:space="preserve">Santral, verimli üretimle </w:t>
      </w:r>
      <w:r w:rsidRPr="3CF9B6E9">
        <w:rPr>
          <w:rFonts w:ascii="Calibri" w:hAnsi="Calibri" w:cs="Calibri"/>
          <w:sz w:val="22"/>
          <w:szCs w:val="22"/>
        </w:rPr>
        <w:t>Özbekistan’ın enerji arz güvenliğini</w:t>
      </w:r>
      <w:r w:rsidR="00A11AE5">
        <w:rPr>
          <w:rFonts w:ascii="Calibri" w:hAnsi="Calibri" w:cs="Calibri"/>
          <w:sz w:val="22"/>
          <w:szCs w:val="22"/>
        </w:rPr>
        <w:t>n</w:t>
      </w:r>
      <w:r w:rsidRPr="3CF9B6E9">
        <w:rPr>
          <w:rFonts w:ascii="Calibri" w:hAnsi="Calibri" w:cs="Calibri"/>
          <w:sz w:val="22"/>
          <w:szCs w:val="22"/>
        </w:rPr>
        <w:t xml:space="preserve"> güçlendiri</w:t>
      </w:r>
      <w:r w:rsidR="00A11AE5">
        <w:rPr>
          <w:rFonts w:ascii="Calibri" w:hAnsi="Calibri" w:cs="Calibri"/>
          <w:sz w:val="22"/>
          <w:szCs w:val="22"/>
        </w:rPr>
        <w:t xml:space="preserve">lmesini destekleyecek </w:t>
      </w:r>
      <w:r w:rsidRPr="3CF9B6E9">
        <w:rPr>
          <w:rFonts w:ascii="Calibri" w:hAnsi="Calibri" w:cs="Calibri"/>
          <w:sz w:val="22"/>
          <w:szCs w:val="22"/>
        </w:rPr>
        <w:t>ve ülkenin uzun vadeli enerji dönüşümüne somut katkı</w:t>
      </w:r>
      <w:r w:rsidR="00A11AE5">
        <w:rPr>
          <w:rFonts w:ascii="Calibri" w:hAnsi="Calibri" w:cs="Calibri"/>
          <w:sz w:val="22"/>
          <w:szCs w:val="22"/>
        </w:rPr>
        <w:t xml:space="preserve"> sunacak. Öte yandan Cengiz Holding’in tüm grup şirketleri ve iştiraklerinde olduğu gibi </w:t>
      </w:r>
      <w:r w:rsidR="00746B83">
        <w:rPr>
          <w:rFonts w:ascii="Calibri" w:hAnsi="Calibri" w:cs="Calibri"/>
          <w:sz w:val="22"/>
          <w:szCs w:val="22"/>
        </w:rPr>
        <w:t xml:space="preserve">daha proje aşamasından başlayarak </w:t>
      </w:r>
      <w:r w:rsidR="00A11AE5">
        <w:rPr>
          <w:rFonts w:ascii="Calibri" w:hAnsi="Calibri" w:cs="Calibri"/>
          <w:sz w:val="22"/>
          <w:szCs w:val="22"/>
        </w:rPr>
        <w:t xml:space="preserve">istihdam yerel halktan sağlanarak bölgesel kalkınmayı destekleyecek </w:t>
      </w:r>
      <w:r w:rsidRPr="3CF9B6E9">
        <w:rPr>
          <w:rFonts w:ascii="Calibri" w:hAnsi="Calibri" w:cs="Calibri"/>
          <w:sz w:val="22"/>
          <w:szCs w:val="22"/>
        </w:rPr>
        <w:t>bir ekonomik değer de üreti</w:t>
      </w:r>
      <w:r w:rsidR="00746B83">
        <w:rPr>
          <w:rFonts w:ascii="Calibri" w:hAnsi="Calibri" w:cs="Calibri"/>
          <w:sz w:val="22"/>
          <w:szCs w:val="22"/>
        </w:rPr>
        <w:t>li</w:t>
      </w:r>
      <w:r w:rsidRPr="3CF9B6E9">
        <w:rPr>
          <w:rFonts w:ascii="Calibri" w:hAnsi="Calibri" w:cs="Calibri"/>
          <w:sz w:val="22"/>
          <w:szCs w:val="22"/>
        </w:rPr>
        <w:t>yor. Finansman sürecinin başarıyla tamamlanması, uluslararası kredi kuruluşlarının güvenini ve yapılandırılmış ihracat kredisi uzmanlığını ortaya koyuyor</w:t>
      </w:r>
      <w:r w:rsidR="00746B83">
        <w:rPr>
          <w:rFonts w:ascii="Calibri" w:hAnsi="Calibri" w:cs="Calibri"/>
          <w:sz w:val="22"/>
          <w:szCs w:val="22"/>
        </w:rPr>
        <w:t>. Bu başarıda emeği geçen tüm çalışma arkadaşlarımızı kutluyorum.”</w:t>
      </w:r>
    </w:p>
    <w:p w14:paraId="750B8EF9" w14:textId="1ACB7675" w:rsidR="00392C0E" w:rsidRDefault="3C96DD75" w:rsidP="00B579D5">
      <w:pPr>
        <w:jc w:val="both"/>
        <w:rPr>
          <w:rFonts w:ascii="Calibri" w:hAnsi="Calibri" w:cs="Calibri"/>
          <w:b/>
          <w:bCs/>
          <w:sz w:val="22"/>
          <w:szCs w:val="22"/>
        </w:rPr>
      </w:pPr>
      <w:r w:rsidRPr="3CF9B6E9">
        <w:rPr>
          <w:rFonts w:ascii="Calibri" w:hAnsi="Calibri" w:cs="Calibri"/>
          <w:b/>
          <w:bCs/>
          <w:sz w:val="22"/>
          <w:szCs w:val="22"/>
        </w:rPr>
        <w:t>Y</w:t>
      </w:r>
      <w:r w:rsidR="13238CBB" w:rsidRPr="3CF9B6E9">
        <w:rPr>
          <w:rFonts w:ascii="Calibri" w:hAnsi="Calibri" w:cs="Calibri"/>
          <w:b/>
          <w:bCs/>
          <w:sz w:val="22"/>
          <w:szCs w:val="22"/>
        </w:rPr>
        <w:t>ÜKSEK VERİM</w:t>
      </w:r>
      <w:r w:rsidR="00207AA3">
        <w:rPr>
          <w:rFonts w:ascii="Calibri" w:hAnsi="Calibri" w:cs="Calibri"/>
          <w:b/>
          <w:bCs/>
          <w:sz w:val="22"/>
          <w:szCs w:val="22"/>
        </w:rPr>
        <w:t xml:space="preserve">, </w:t>
      </w:r>
      <w:r w:rsidR="13238CBB" w:rsidRPr="3CF9B6E9">
        <w:rPr>
          <w:rFonts w:ascii="Calibri" w:hAnsi="Calibri" w:cs="Calibri"/>
          <w:b/>
          <w:bCs/>
          <w:sz w:val="22"/>
          <w:szCs w:val="22"/>
        </w:rPr>
        <w:t xml:space="preserve">HİDROJEN UYUMLU ALTYAPI  </w:t>
      </w:r>
    </w:p>
    <w:p w14:paraId="4BDEBDED" w14:textId="057B5EB1" w:rsidR="66FDB7BA" w:rsidRDefault="2194C43E" w:rsidP="00207AA3">
      <w:pPr>
        <w:jc w:val="both"/>
        <w:rPr>
          <w:rFonts w:ascii="Calibri" w:eastAsia="Calibri" w:hAnsi="Calibri" w:cs="Calibri"/>
          <w:sz w:val="22"/>
          <w:szCs w:val="22"/>
        </w:rPr>
      </w:pPr>
      <w:r w:rsidRPr="3CF9B6E9">
        <w:rPr>
          <w:rFonts w:ascii="Calibri" w:eastAsia="Calibri" w:hAnsi="Calibri" w:cs="Calibri"/>
          <w:color w:val="1C2B28"/>
          <w:sz w:val="22"/>
          <w:szCs w:val="22"/>
        </w:rPr>
        <w:lastRenderedPageBreak/>
        <w:t>Cengiz Enerji’nin sürdürülebilirlik yaklaşımının somut bir göstergesi olarak y</w:t>
      </w:r>
      <w:r w:rsidR="6E33D418" w:rsidRPr="3CF9B6E9">
        <w:rPr>
          <w:rFonts w:ascii="Calibri" w:hAnsi="Calibri" w:cs="Calibri"/>
          <w:sz w:val="22"/>
          <w:szCs w:val="22"/>
        </w:rPr>
        <w:t xml:space="preserve">üzde 50 </w:t>
      </w:r>
      <w:r w:rsidR="00392C0E" w:rsidRPr="3CF9B6E9">
        <w:rPr>
          <w:rFonts w:ascii="Calibri" w:hAnsi="Calibri" w:cs="Calibri"/>
          <w:sz w:val="22"/>
          <w:szCs w:val="22"/>
        </w:rPr>
        <w:t>hidrojenle çalışabilme kapasitesine uygun olarak tasarlanmış ilk kombine çevrim santrali olma özelliğine sahip</w:t>
      </w:r>
      <w:r w:rsidR="31F9307A" w:rsidRPr="3CF9B6E9">
        <w:rPr>
          <w:rFonts w:ascii="Calibri" w:hAnsi="Calibri" w:cs="Calibri"/>
          <w:sz w:val="22"/>
          <w:szCs w:val="22"/>
        </w:rPr>
        <w:t xml:space="preserve"> Cizzak Doğalgaz Kombine Çevrim Santrali, </w:t>
      </w:r>
      <w:r w:rsidR="00207AA3">
        <w:rPr>
          <w:rFonts w:ascii="Calibri" w:hAnsi="Calibri" w:cs="Calibri"/>
          <w:sz w:val="22"/>
          <w:szCs w:val="22"/>
        </w:rPr>
        <w:t>%</w:t>
      </w:r>
      <w:r w:rsidR="00392C0E" w:rsidRPr="3CF9B6E9">
        <w:rPr>
          <w:rFonts w:ascii="Calibri" w:hAnsi="Calibri" w:cs="Calibri"/>
          <w:sz w:val="22"/>
          <w:szCs w:val="22"/>
        </w:rPr>
        <w:t>60’ın üzerinde verimlilikle çalış</w:t>
      </w:r>
      <w:r w:rsidR="00207AA3">
        <w:rPr>
          <w:rFonts w:ascii="Calibri" w:hAnsi="Calibri" w:cs="Calibri"/>
          <w:sz w:val="22"/>
          <w:szCs w:val="22"/>
        </w:rPr>
        <w:t xml:space="preserve">ırken </w:t>
      </w:r>
      <w:r w:rsidR="00392C0E" w:rsidRPr="3CF9B6E9">
        <w:rPr>
          <w:rFonts w:ascii="Calibri" w:hAnsi="Calibri" w:cs="Calibri"/>
          <w:sz w:val="22"/>
          <w:szCs w:val="22"/>
        </w:rPr>
        <w:t xml:space="preserve">emisyonları önemli ölçüde azaltacak. </w:t>
      </w:r>
      <w:r w:rsidR="00207AA3">
        <w:rPr>
          <w:rFonts w:ascii="Calibri" w:hAnsi="Calibri" w:cs="Calibri"/>
          <w:sz w:val="22"/>
          <w:szCs w:val="22"/>
        </w:rPr>
        <w:t>S</w:t>
      </w:r>
      <w:r w:rsidR="7340B872" w:rsidRPr="3CF9B6E9">
        <w:rPr>
          <w:rFonts w:ascii="Calibri" w:eastAsia="Calibri" w:hAnsi="Calibri" w:cs="Calibri"/>
          <w:sz w:val="22"/>
          <w:szCs w:val="22"/>
        </w:rPr>
        <w:t>ürdürülebilirlik ve uluslararası finansman standartları açısından da güçlü bir yapıya sahip</w:t>
      </w:r>
      <w:r w:rsidR="00207AA3">
        <w:rPr>
          <w:rFonts w:ascii="Calibri" w:eastAsia="Calibri" w:hAnsi="Calibri" w:cs="Calibri"/>
          <w:sz w:val="22"/>
          <w:szCs w:val="22"/>
        </w:rPr>
        <w:t xml:space="preserve"> olan santral, </w:t>
      </w:r>
      <w:r w:rsidR="7340B872" w:rsidRPr="3CF9B6E9">
        <w:rPr>
          <w:rFonts w:ascii="Calibri" w:eastAsia="Calibri" w:hAnsi="Calibri" w:cs="Calibri"/>
          <w:sz w:val="22"/>
          <w:szCs w:val="22"/>
        </w:rPr>
        <w:t>Equator Principles Association tarafından belirlenen Equator Principles, OECD Common Approaches ve International Finance Corporation (IFC) Performance Standards ile tam uyumlu şekilde geliştirildi. Ayrıca AB Taksonomisi’nin “Minimum Safeguards” ve “Do No Significant Harm” kriterlerini karşılayan proje, International Capital Market Association tarafından belirlenen Green Bond Principles kapsamında “Yeşil</w:t>
      </w:r>
      <w:r w:rsidR="004F3CC9">
        <w:rPr>
          <w:rFonts w:ascii="Calibri" w:eastAsia="Calibri" w:hAnsi="Calibri" w:cs="Calibri"/>
          <w:sz w:val="22"/>
          <w:szCs w:val="22"/>
        </w:rPr>
        <w:t xml:space="preserve"> Dönüşümü</w:t>
      </w:r>
      <w:r w:rsidR="7340B872" w:rsidRPr="3CF9B6E9">
        <w:rPr>
          <w:rFonts w:ascii="Calibri" w:eastAsia="Calibri" w:hAnsi="Calibri" w:cs="Calibri"/>
          <w:sz w:val="22"/>
          <w:szCs w:val="22"/>
        </w:rPr>
        <w:t xml:space="preserve"> Etkinleştir</w:t>
      </w:r>
      <w:r w:rsidR="004F3CC9">
        <w:rPr>
          <w:rFonts w:ascii="Calibri" w:eastAsia="Calibri" w:hAnsi="Calibri" w:cs="Calibri"/>
          <w:sz w:val="22"/>
          <w:szCs w:val="22"/>
        </w:rPr>
        <w:t>en</w:t>
      </w:r>
      <w:r w:rsidR="7340B872" w:rsidRPr="3CF9B6E9">
        <w:rPr>
          <w:rFonts w:ascii="Calibri" w:eastAsia="Calibri" w:hAnsi="Calibri" w:cs="Calibri"/>
          <w:sz w:val="22"/>
          <w:szCs w:val="22"/>
        </w:rPr>
        <w:t xml:space="preserve"> Proje” (Green Enabling Project) olarak tanınıyor.</w:t>
      </w:r>
      <w:r w:rsidR="002261D1">
        <w:rPr>
          <w:rFonts w:ascii="Calibri" w:eastAsia="Calibri" w:hAnsi="Calibri" w:cs="Calibri"/>
          <w:sz w:val="22"/>
          <w:szCs w:val="22"/>
        </w:rPr>
        <w:t xml:space="preserve"> </w:t>
      </w:r>
      <w:r w:rsidR="66FDB7BA" w:rsidRPr="3CF9B6E9">
        <w:rPr>
          <w:rFonts w:ascii="Calibri" w:eastAsia="Calibri" w:hAnsi="Calibri" w:cs="Calibri"/>
          <w:sz w:val="22"/>
          <w:szCs w:val="22"/>
        </w:rPr>
        <w:t>Projenin f</w:t>
      </w:r>
      <w:r w:rsidR="7340B872" w:rsidRPr="3CF9B6E9">
        <w:rPr>
          <w:rFonts w:ascii="Calibri" w:eastAsia="Calibri" w:hAnsi="Calibri" w:cs="Calibri"/>
          <w:sz w:val="22"/>
          <w:szCs w:val="22"/>
        </w:rPr>
        <w:t>inansman</w:t>
      </w:r>
      <w:r w:rsidR="1D3F27D2" w:rsidRPr="3CF9B6E9">
        <w:rPr>
          <w:rFonts w:ascii="Calibri" w:eastAsia="Calibri" w:hAnsi="Calibri" w:cs="Calibri"/>
          <w:sz w:val="22"/>
          <w:szCs w:val="22"/>
        </w:rPr>
        <w:t>ı</w:t>
      </w:r>
      <w:r w:rsidR="7340B872" w:rsidRPr="3CF9B6E9">
        <w:rPr>
          <w:rFonts w:ascii="Calibri" w:eastAsia="Calibri" w:hAnsi="Calibri" w:cs="Calibri"/>
          <w:sz w:val="22"/>
          <w:szCs w:val="22"/>
        </w:rPr>
        <w:t xml:space="preserve"> 12 yıl vadeli olup, santralin devreye alınmasının ardından 10 yıllık geri ödeme planı öngörülüyor. Bu yapı, uzun vadeli altyapı yatırımlarının finansman döngüsüyle uyumlu bir model sunarak projenin bankalar açısından finansal sürdürülebilirliğini güçlendiriyor.</w:t>
      </w:r>
    </w:p>
    <w:p w14:paraId="5CD78AAA" w14:textId="1CD8AE12" w:rsidR="1403CC76" w:rsidRDefault="1403CC76" w:rsidP="00B579D5">
      <w:pPr>
        <w:spacing w:before="240" w:after="240"/>
        <w:jc w:val="both"/>
        <w:rPr>
          <w:rFonts w:ascii="Calibri" w:eastAsia="Calibri" w:hAnsi="Calibri" w:cs="Calibri"/>
          <w:sz w:val="22"/>
          <w:szCs w:val="22"/>
        </w:rPr>
      </w:pPr>
      <w:r w:rsidRPr="3CF9B6E9">
        <w:rPr>
          <w:rFonts w:ascii="Calibri" w:hAnsi="Calibri" w:cs="Calibri"/>
          <w:sz w:val="22"/>
          <w:szCs w:val="22"/>
        </w:rPr>
        <w:t>Cizzak Doğalgaz Kombine Çevrim Santrali,</w:t>
      </w:r>
      <w:r w:rsidR="2F0B817D" w:rsidRPr="3CF9B6E9">
        <w:rPr>
          <w:rFonts w:ascii="Calibri" w:eastAsia="Calibri" w:hAnsi="Calibri" w:cs="Calibri"/>
          <w:sz w:val="22"/>
          <w:szCs w:val="22"/>
        </w:rPr>
        <w:t xml:space="preserve"> Özbekistan’ın 2030 yılı </w:t>
      </w:r>
      <w:r w:rsidR="002B6F48">
        <w:rPr>
          <w:rFonts w:ascii="Calibri" w:eastAsia="Calibri" w:hAnsi="Calibri" w:cs="Calibri"/>
          <w:sz w:val="22"/>
          <w:szCs w:val="22"/>
        </w:rPr>
        <w:t>enerji</w:t>
      </w:r>
      <w:r w:rsidR="2F0B817D" w:rsidRPr="3CF9B6E9">
        <w:rPr>
          <w:rFonts w:ascii="Calibri" w:eastAsia="Calibri" w:hAnsi="Calibri" w:cs="Calibri"/>
          <w:sz w:val="22"/>
          <w:szCs w:val="22"/>
        </w:rPr>
        <w:t xml:space="preserve"> yol haritasının önemli bir parçası olarak öne çıkıyor. Aynı zamanda ülkede planlanan 25 GW yenilenebilir enerji kapasitesinin sisteme entegrasyonunu desteklemek amacıyla güvenilir baz yük üretimi sağlayacak.</w:t>
      </w:r>
      <w:r w:rsidR="10460B6D" w:rsidRPr="3CF9B6E9">
        <w:rPr>
          <w:rFonts w:ascii="Calibri" w:eastAsia="Calibri" w:hAnsi="Calibri" w:cs="Calibri"/>
          <w:sz w:val="22"/>
          <w:szCs w:val="22"/>
        </w:rPr>
        <w:t xml:space="preserve"> S</w:t>
      </w:r>
      <w:r w:rsidR="2F0B817D" w:rsidRPr="3CF9B6E9">
        <w:rPr>
          <w:rFonts w:ascii="Calibri" w:eastAsia="Calibri" w:hAnsi="Calibri" w:cs="Calibri"/>
          <w:sz w:val="22"/>
          <w:szCs w:val="22"/>
        </w:rPr>
        <w:t>tratejik konumu sayesinde santral, iletim kayıplarının azaltılmasına katkı sağlayacak ve kuzeyde bulunan eski santrallerden yapılan uzun mesafeli elektrik iletimine olan bağımlılığı azaltarak ulusal şebekenin verimliliğini ve güvenilirliğini artıracak.</w:t>
      </w:r>
    </w:p>
    <w:bookmarkEnd w:id="0"/>
    <w:p w14:paraId="464A670B" w14:textId="296743EC" w:rsidR="00CB01FE" w:rsidRPr="00C71BE7" w:rsidRDefault="00CB01FE" w:rsidP="002C2DE4">
      <w:pPr>
        <w:rPr>
          <w:rFonts w:ascii="Calibri" w:hAnsi="Calibri" w:cs="Calibri"/>
          <w:sz w:val="22"/>
          <w:szCs w:val="22"/>
        </w:rPr>
      </w:pPr>
    </w:p>
    <w:sectPr w:rsidR="00CB01FE" w:rsidRPr="00C71BE7" w:rsidSect="007A5C43">
      <w:headerReference w:type="default" r:id="rId11"/>
      <w:pgSz w:w="11906" w:h="16838"/>
      <w:pgMar w:top="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BD1F" w14:textId="77777777" w:rsidR="005C7F04" w:rsidRDefault="005C7F04" w:rsidP="00DE6BB9">
      <w:pPr>
        <w:spacing w:after="0" w:line="240" w:lineRule="auto"/>
      </w:pPr>
      <w:r>
        <w:separator/>
      </w:r>
    </w:p>
  </w:endnote>
  <w:endnote w:type="continuationSeparator" w:id="0">
    <w:p w14:paraId="35F4C7EA" w14:textId="77777777" w:rsidR="005C7F04" w:rsidRDefault="005C7F04" w:rsidP="00DE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90BA" w14:textId="77777777" w:rsidR="005C7F04" w:rsidRDefault="005C7F04" w:rsidP="00DE6BB9">
      <w:pPr>
        <w:spacing w:after="0" w:line="240" w:lineRule="auto"/>
      </w:pPr>
      <w:r>
        <w:separator/>
      </w:r>
    </w:p>
  </w:footnote>
  <w:footnote w:type="continuationSeparator" w:id="0">
    <w:p w14:paraId="07DCF4F6" w14:textId="77777777" w:rsidR="005C7F04" w:rsidRDefault="005C7F04" w:rsidP="00DE6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795B" w14:textId="400839F1" w:rsidR="00DE6BB9" w:rsidRDefault="00DE6B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6325A"/>
    <w:multiLevelType w:val="multilevel"/>
    <w:tmpl w:val="D970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77725"/>
    <w:multiLevelType w:val="hybridMultilevel"/>
    <w:tmpl w:val="0B9CE07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59BB3204"/>
    <w:multiLevelType w:val="multilevel"/>
    <w:tmpl w:val="05D8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78757">
    <w:abstractNumId w:val="1"/>
  </w:num>
  <w:num w:numId="2" w16cid:durableId="962228658">
    <w:abstractNumId w:val="0"/>
  </w:num>
  <w:num w:numId="3" w16cid:durableId="59220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A0"/>
    <w:rsid w:val="0000608B"/>
    <w:rsid w:val="000B7C36"/>
    <w:rsid w:val="000C6B9D"/>
    <w:rsid w:val="0013236D"/>
    <w:rsid w:val="001638B0"/>
    <w:rsid w:val="001761E8"/>
    <w:rsid w:val="00193877"/>
    <w:rsid w:val="001B49FC"/>
    <w:rsid w:val="001C0171"/>
    <w:rsid w:val="00207537"/>
    <w:rsid w:val="00207AA3"/>
    <w:rsid w:val="002261D1"/>
    <w:rsid w:val="002B1F03"/>
    <w:rsid w:val="002B6F48"/>
    <w:rsid w:val="002C2DE4"/>
    <w:rsid w:val="002D3D9E"/>
    <w:rsid w:val="002D6147"/>
    <w:rsid w:val="002D7F3D"/>
    <w:rsid w:val="00300F27"/>
    <w:rsid w:val="003014F7"/>
    <w:rsid w:val="003347DB"/>
    <w:rsid w:val="00350200"/>
    <w:rsid w:val="00392C0E"/>
    <w:rsid w:val="003D0150"/>
    <w:rsid w:val="003E5668"/>
    <w:rsid w:val="00410DF6"/>
    <w:rsid w:val="004158A6"/>
    <w:rsid w:val="00465E62"/>
    <w:rsid w:val="004A1B89"/>
    <w:rsid w:val="004F13A3"/>
    <w:rsid w:val="004F3CC9"/>
    <w:rsid w:val="00537B18"/>
    <w:rsid w:val="00596EE3"/>
    <w:rsid w:val="005C7F04"/>
    <w:rsid w:val="005D7168"/>
    <w:rsid w:val="005E24E3"/>
    <w:rsid w:val="005F1EDF"/>
    <w:rsid w:val="0060221B"/>
    <w:rsid w:val="0062007B"/>
    <w:rsid w:val="00656B6E"/>
    <w:rsid w:val="0070497A"/>
    <w:rsid w:val="00746B83"/>
    <w:rsid w:val="00756659"/>
    <w:rsid w:val="00765345"/>
    <w:rsid w:val="00766BAF"/>
    <w:rsid w:val="00773368"/>
    <w:rsid w:val="007739B0"/>
    <w:rsid w:val="007A5C43"/>
    <w:rsid w:val="007F11ED"/>
    <w:rsid w:val="00815345"/>
    <w:rsid w:val="008434C1"/>
    <w:rsid w:val="00857829"/>
    <w:rsid w:val="0086001B"/>
    <w:rsid w:val="00872841"/>
    <w:rsid w:val="008B6E8C"/>
    <w:rsid w:val="008F3334"/>
    <w:rsid w:val="008F5C2F"/>
    <w:rsid w:val="009363D5"/>
    <w:rsid w:val="00971275"/>
    <w:rsid w:val="009D3B3D"/>
    <w:rsid w:val="00A11AE5"/>
    <w:rsid w:val="00A2114C"/>
    <w:rsid w:val="00A748E7"/>
    <w:rsid w:val="00AF2D84"/>
    <w:rsid w:val="00B04B61"/>
    <w:rsid w:val="00B423CC"/>
    <w:rsid w:val="00B579D5"/>
    <w:rsid w:val="00BF5CEC"/>
    <w:rsid w:val="00C2073B"/>
    <w:rsid w:val="00C26A8A"/>
    <w:rsid w:val="00C45DE6"/>
    <w:rsid w:val="00C65C0A"/>
    <w:rsid w:val="00C71BE7"/>
    <w:rsid w:val="00C74957"/>
    <w:rsid w:val="00CB01FE"/>
    <w:rsid w:val="00CC28DB"/>
    <w:rsid w:val="00CC7A3A"/>
    <w:rsid w:val="00D320B8"/>
    <w:rsid w:val="00D35C97"/>
    <w:rsid w:val="00D633A0"/>
    <w:rsid w:val="00D93CA6"/>
    <w:rsid w:val="00DD6D76"/>
    <w:rsid w:val="00DE006E"/>
    <w:rsid w:val="00DE19D7"/>
    <w:rsid w:val="00DE6BB9"/>
    <w:rsid w:val="00E31F79"/>
    <w:rsid w:val="00E424B7"/>
    <w:rsid w:val="00E70CA9"/>
    <w:rsid w:val="00E71480"/>
    <w:rsid w:val="00ED5177"/>
    <w:rsid w:val="00EF652F"/>
    <w:rsid w:val="00F10B0D"/>
    <w:rsid w:val="00F71961"/>
    <w:rsid w:val="00FA18DF"/>
    <w:rsid w:val="00FE40DD"/>
    <w:rsid w:val="02B74F0E"/>
    <w:rsid w:val="04E7C036"/>
    <w:rsid w:val="05B2D506"/>
    <w:rsid w:val="05D7286D"/>
    <w:rsid w:val="05DF571E"/>
    <w:rsid w:val="061D8F46"/>
    <w:rsid w:val="0644203C"/>
    <w:rsid w:val="072E650C"/>
    <w:rsid w:val="0860F11A"/>
    <w:rsid w:val="08994C6E"/>
    <w:rsid w:val="0B8506BF"/>
    <w:rsid w:val="0BAF2974"/>
    <w:rsid w:val="0C106276"/>
    <w:rsid w:val="0DFCCACA"/>
    <w:rsid w:val="1041ED0B"/>
    <w:rsid w:val="10460B6D"/>
    <w:rsid w:val="106F4C37"/>
    <w:rsid w:val="13238CBB"/>
    <w:rsid w:val="136B1179"/>
    <w:rsid w:val="13EF3F03"/>
    <w:rsid w:val="1403CC76"/>
    <w:rsid w:val="14074D73"/>
    <w:rsid w:val="140C34FB"/>
    <w:rsid w:val="15947D5C"/>
    <w:rsid w:val="17175439"/>
    <w:rsid w:val="182C9580"/>
    <w:rsid w:val="18477B6D"/>
    <w:rsid w:val="18878A38"/>
    <w:rsid w:val="1A5CF374"/>
    <w:rsid w:val="1D3F27D2"/>
    <w:rsid w:val="20776F58"/>
    <w:rsid w:val="217B0572"/>
    <w:rsid w:val="2194C43E"/>
    <w:rsid w:val="240D8D69"/>
    <w:rsid w:val="24111F84"/>
    <w:rsid w:val="25BD7319"/>
    <w:rsid w:val="26AFC1AD"/>
    <w:rsid w:val="27B28DDC"/>
    <w:rsid w:val="27B471E4"/>
    <w:rsid w:val="29087856"/>
    <w:rsid w:val="2969DFFD"/>
    <w:rsid w:val="29C52389"/>
    <w:rsid w:val="29E58994"/>
    <w:rsid w:val="2A72171D"/>
    <w:rsid w:val="2A8ABCB0"/>
    <w:rsid w:val="2C1BB640"/>
    <w:rsid w:val="2DABB68B"/>
    <w:rsid w:val="2F0B817D"/>
    <w:rsid w:val="31F9307A"/>
    <w:rsid w:val="323EFFC9"/>
    <w:rsid w:val="324095A1"/>
    <w:rsid w:val="32721AE8"/>
    <w:rsid w:val="3310A2B2"/>
    <w:rsid w:val="3653627F"/>
    <w:rsid w:val="36E2F948"/>
    <w:rsid w:val="37CDEAF6"/>
    <w:rsid w:val="3802F0EF"/>
    <w:rsid w:val="38541A59"/>
    <w:rsid w:val="38BF2F26"/>
    <w:rsid w:val="39C247D3"/>
    <w:rsid w:val="39D8756B"/>
    <w:rsid w:val="3B51B80F"/>
    <w:rsid w:val="3B691C8C"/>
    <w:rsid w:val="3C96DD75"/>
    <w:rsid w:val="3CF9B6E9"/>
    <w:rsid w:val="3DCD60C9"/>
    <w:rsid w:val="3DF1A7BB"/>
    <w:rsid w:val="3EFD105B"/>
    <w:rsid w:val="3F5969C3"/>
    <w:rsid w:val="43709F56"/>
    <w:rsid w:val="43ADC403"/>
    <w:rsid w:val="4552CF5F"/>
    <w:rsid w:val="47479DED"/>
    <w:rsid w:val="499D5D8B"/>
    <w:rsid w:val="4B736A04"/>
    <w:rsid w:val="4C97F8E9"/>
    <w:rsid w:val="4D406BDB"/>
    <w:rsid w:val="4DA1CCC3"/>
    <w:rsid w:val="507DAEFC"/>
    <w:rsid w:val="50FF8E8C"/>
    <w:rsid w:val="5177D2CE"/>
    <w:rsid w:val="519EA6EB"/>
    <w:rsid w:val="5424B823"/>
    <w:rsid w:val="55D0BDF1"/>
    <w:rsid w:val="56786BF8"/>
    <w:rsid w:val="5735425C"/>
    <w:rsid w:val="578A7554"/>
    <w:rsid w:val="5B0DDC0E"/>
    <w:rsid w:val="5E52ACAC"/>
    <w:rsid w:val="5F1D8708"/>
    <w:rsid w:val="5FDE1D4C"/>
    <w:rsid w:val="61B3A186"/>
    <w:rsid w:val="6382419C"/>
    <w:rsid w:val="63F36DEE"/>
    <w:rsid w:val="64C7D285"/>
    <w:rsid w:val="653359C6"/>
    <w:rsid w:val="6580B118"/>
    <w:rsid w:val="66B67EFE"/>
    <w:rsid w:val="66FDB7BA"/>
    <w:rsid w:val="6A176888"/>
    <w:rsid w:val="6AFB12E2"/>
    <w:rsid w:val="6BC3119C"/>
    <w:rsid w:val="6C4A689E"/>
    <w:rsid w:val="6C807ED9"/>
    <w:rsid w:val="6CFECC19"/>
    <w:rsid w:val="6DA992CC"/>
    <w:rsid w:val="6DACF075"/>
    <w:rsid w:val="6E33D418"/>
    <w:rsid w:val="70C94640"/>
    <w:rsid w:val="723B5584"/>
    <w:rsid w:val="7340B872"/>
    <w:rsid w:val="7565550B"/>
    <w:rsid w:val="7825A944"/>
    <w:rsid w:val="7826F339"/>
    <w:rsid w:val="78E1A447"/>
    <w:rsid w:val="796A0C0B"/>
    <w:rsid w:val="799D391A"/>
    <w:rsid w:val="7BAC4123"/>
    <w:rsid w:val="7C9133A4"/>
    <w:rsid w:val="7E0D06CB"/>
    <w:rsid w:val="7F0042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6311"/>
  <w15:chartTrackingRefBased/>
  <w15:docId w15:val="{1F66E783-D5A8-4F78-8E5B-DB65C13B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633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D633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D633A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633A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633A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633A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633A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633A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633A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33A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D633A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D633A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633A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633A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633A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633A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633A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633A0"/>
    <w:rPr>
      <w:rFonts w:eastAsiaTheme="majorEastAsia" w:cstheme="majorBidi"/>
      <w:color w:val="272727" w:themeColor="text1" w:themeTint="D8"/>
    </w:rPr>
  </w:style>
  <w:style w:type="paragraph" w:styleId="KonuBal">
    <w:name w:val="Title"/>
    <w:basedOn w:val="Normal"/>
    <w:next w:val="Normal"/>
    <w:link w:val="KonuBalChar"/>
    <w:uiPriority w:val="10"/>
    <w:qFormat/>
    <w:rsid w:val="00D63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633A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633A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633A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633A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633A0"/>
    <w:rPr>
      <w:i/>
      <w:iCs/>
      <w:color w:val="404040" w:themeColor="text1" w:themeTint="BF"/>
    </w:rPr>
  </w:style>
  <w:style w:type="paragraph" w:styleId="ListeParagraf">
    <w:name w:val="List Paragraph"/>
    <w:basedOn w:val="Normal"/>
    <w:uiPriority w:val="34"/>
    <w:qFormat/>
    <w:rsid w:val="00D633A0"/>
    <w:pPr>
      <w:ind w:left="720"/>
      <w:contextualSpacing/>
    </w:pPr>
  </w:style>
  <w:style w:type="character" w:styleId="GlVurgulama">
    <w:name w:val="Intense Emphasis"/>
    <w:basedOn w:val="VarsaylanParagrafYazTipi"/>
    <w:uiPriority w:val="21"/>
    <w:qFormat/>
    <w:rsid w:val="00D633A0"/>
    <w:rPr>
      <w:i/>
      <w:iCs/>
      <w:color w:val="0F4761" w:themeColor="accent1" w:themeShade="BF"/>
    </w:rPr>
  </w:style>
  <w:style w:type="paragraph" w:styleId="GlAlnt">
    <w:name w:val="Intense Quote"/>
    <w:basedOn w:val="Normal"/>
    <w:next w:val="Normal"/>
    <w:link w:val="GlAlntChar"/>
    <w:uiPriority w:val="30"/>
    <w:qFormat/>
    <w:rsid w:val="00D63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633A0"/>
    <w:rPr>
      <w:i/>
      <w:iCs/>
      <w:color w:val="0F4761" w:themeColor="accent1" w:themeShade="BF"/>
    </w:rPr>
  </w:style>
  <w:style w:type="character" w:styleId="GlBavuru">
    <w:name w:val="Intense Reference"/>
    <w:basedOn w:val="VarsaylanParagrafYazTipi"/>
    <w:uiPriority w:val="32"/>
    <w:qFormat/>
    <w:rsid w:val="00D633A0"/>
    <w:rPr>
      <w:b/>
      <w:bCs/>
      <w:smallCaps/>
      <w:color w:val="0F4761" w:themeColor="accent1" w:themeShade="BF"/>
      <w:spacing w:val="5"/>
    </w:rPr>
  </w:style>
  <w:style w:type="paragraph" w:styleId="stBilgi">
    <w:name w:val="header"/>
    <w:basedOn w:val="Normal"/>
    <w:link w:val="stBilgiChar"/>
    <w:uiPriority w:val="99"/>
    <w:unhideWhenUsed/>
    <w:rsid w:val="00DE6B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E6BB9"/>
  </w:style>
  <w:style w:type="paragraph" w:styleId="AltBilgi">
    <w:name w:val="footer"/>
    <w:basedOn w:val="Normal"/>
    <w:link w:val="AltBilgiChar"/>
    <w:uiPriority w:val="99"/>
    <w:unhideWhenUsed/>
    <w:rsid w:val="00DE6B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E6BB9"/>
  </w:style>
  <w:style w:type="paragraph" w:styleId="Dzeltme">
    <w:name w:val="Revision"/>
    <w:hidden/>
    <w:uiPriority w:val="99"/>
    <w:semiHidden/>
    <w:rsid w:val="00756659"/>
    <w:pPr>
      <w:spacing w:after="0" w:line="240" w:lineRule="auto"/>
    </w:pPr>
  </w:style>
  <w:style w:type="character" w:styleId="AklamaBavurusu">
    <w:name w:val="annotation reference"/>
    <w:basedOn w:val="VarsaylanParagrafYazTipi"/>
    <w:uiPriority w:val="99"/>
    <w:semiHidden/>
    <w:unhideWhenUsed/>
    <w:rsid w:val="00ED5177"/>
    <w:rPr>
      <w:sz w:val="16"/>
      <w:szCs w:val="16"/>
    </w:rPr>
  </w:style>
  <w:style w:type="paragraph" w:styleId="AklamaMetni">
    <w:name w:val="annotation text"/>
    <w:basedOn w:val="Normal"/>
    <w:link w:val="AklamaMetniChar"/>
    <w:uiPriority w:val="99"/>
    <w:unhideWhenUsed/>
    <w:rsid w:val="00ED5177"/>
    <w:pPr>
      <w:spacing w:line="240" w:lineRule="auto"/>
    </w:pPr>
    <w:rPr>
      <w:sz w:val="20"/>
      <w:szCs w:val="20"/>
    </w:rPr>
  </w:style>
  <w:style w:type="character" w:customStyle="1" w:styleId="AklamaMetniChar">
    <w:name w:val="Açıklama Metni Char"/>
    <w:basedOn w:val="VarsaylanParagrafYazTipi"/>
    <w:link w:val="AklamaMetni"/>
    <w:uiPriority w:val="99"/>
    <w:rsid w:val="00ED5177"/>
    <w:rPr>
      <w:sz w:val="20"/>
      <w:szCs w:val="20"/>
    </w:rPr>
  </w:style>
  <w:style w:type="paragraph" w:styleId="AklamaKonusu">
    <w:name w:val="annotation subject"/>
    <w:basedOn w:val="AklamaMetni"/>
    <w:next w:val="AklamaMetni"/>
    <w:link w:val="AklamaKonusuChar"/>
    <w:uiPriority w:val="99"/>
    <w:semiHidden/>
    <w:unhideWhenUsed/>
    <w:rsid w:val="00ED5177"/>
    <w:rPr>
      <w:b/>
      <w:bCs/>
    </w:rPr>
  </w:style>
  <w:style w:type="character" w:customStyle="1" w:styleId="AklamaKonusuChar">
    <w:name w:val="Açıklama Konusu Char"/>
    <w:basedOn w:val="AklamaMetniChar"/>
    <w:link w:val="AklamaKonusu"/>
    <w:uiPriority w:val="99"/>
    <w:semiHidden/>
    <w:rsid w:val="00ED5177"/>
    <w:rPr>
      <w:b/>
      <w:bCs/>
      <w:sz w:val="20"/>
      <w:szCs w:val="20"/>
    </w:rPr>
  </w:style>
  <w:style w:type="paragraph" w:styleId="NormalWeb">
    <w:name w:val="Normal (Web)"/>
    <w:basedOn w:val="Normal"/>
    <w:uiPriority w:val="99"/>
    <w:semiHidden/>
    <w:unhideWhenUsed/>
    <w:rsid w:val="00392C0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656">
      <w:bodyDiv w:val="1"/>
      <w:marLeft w:val="0"/>
      <w:marRight w:val="0"/>
      <w:marTop w:val="0"/>
      <w:marBottom w:val="0"/>
      <w:divBdr>
        <w:top w:val="none" w:sz="0" w:space="0" w:color="auto"/>
        <w:left w:val="none" w:sz="0" w:space="0" w:color="auto"/>
        <w:bottom w:val="none" w:sz="0" w:space="0" w:color="auto"/>
        <w:right w:val="none" w:sz="0" w:space="0" w:color="auto"/>
      </w:divBdr>
    </w:div>
    <w:div w:id="205876059">
      <w:bodyDiv w:val="1"/>
      <w:marLeft w:val="0"/>
      <w:marRight w:val="0"/>
      <w:marTop w:val="0"/>
      <w:marBottom w:val="0"/>
      <w:divBdr>
        <w:top w:val="none" w:sz="0" w:space="0" w:color="auto"/>
        <w:left w:val="none" w:sz="0" w:space="0" w:color="auto"/>
        <w:bottom w:val="none" w:sz="0" w:space="0" w:color="auto"/>
        <w:right w:val="none" w:sz="0" w:space="0" w:color="auto"/>
      </w:divBdr>
      <w:divsChild>
        <w:div w:id="953049860">
          <w:marLeft w:val="0"/>
          <w:marRight w:val="0"/>
          <w:marTop w:val="0"/>
          <w:marBottom w:val="0"/>
          <w:divBdr>
            <w:top w:val="none" w:sz="0" w:space="0" w:color="auto"/>
            <w:left w:val="none" w:sz="0" w:space="0" w:color="auto"/>
            <w:bottom w:val="none" w:sz="0" w:space="0" w:color="auto"/>
            <w:right w:val="none" w:sz="0" w:space="0" w:color="auto"/>
          </w:divBdr>
          <w:divsChild>
            <w:div w:id="2128116843">
              <w:marLeft w:val="0"/>
              <w:marRight w:val="0"/>
              <w:marTop w:val="0"/>
              <w:marBottom w:val="0"/>
              <w:divBdr>
                <w:top w:val="none" w:sz="0" w:space="0" w:color="auto"/>
                <w:left w:val="none" w:sz="0" w:space="0" w:color="auto"/>
                <w:bottom w:val="none" w:sz="0" w:space="0" w:color="auto"/>
                <w:right w:val="none" w:sz="0" w:space="0" w:color="auto"/>
              </w:divBdr>
              <w:divsChild>
                <w:div w:id="643197936">
                  <w:marLeft w:val="0"/>
                  <w:marRight w:val="0"/>
                  <w:marTop w:val="0"/>
                  <w:marBottom w:val="0"/>
                  <w:divBdr>
                    <w:top w:val="none" w:sz="0" w:space="0" w:color="auto"/>
                    <w:left w:val="none" w:sz="0" w:space="0" w:color="auto"/>
                    <w:bottom w:val="none" w:sz="0" w:space="0" w:color="auto"/>
                    <w:right w:val="none" w:sz="0" w:space="0" w:color="auto"/>
                  </w:divBdr>
                  <w:divsChild>
                    <w:div w:id="1842239729">
                      <w:marLeft w:val="0"/>
                      <w:marRight w:val="0"/>
                      <w:marTop w:val="0"/>
                      <w:marBottom w:val="0"/>
                      <w:divBdr>
                        <w:top w:val="none" w:sz="0" w:space="0" w:color="auto"/>
                        <w:left w:val="none" w:sz="0" w:space="0" w:color="auto"/>
                        <w:bottom w:val="none" w:sz="0" w:space="0" w:color="auto"/>
                        <w:right w:val="none" w:sz="0" w:space="0" w:color="auto"/>
                      </w:divBdr>
                      <w:divsChild>
                        <w:div w:id="1241333864">
                          <w:marLeft w:val="0"/>
                          <w:marRight w:val="0"/>
                          <w:marTop w:val="0"/>
                          <w:marBottom w:val="0"/>
                          <w:divBdr>
                            <w:top w:val="none" w:sz="0" w:space="0" w:color="auto"/>
                            <w:left w:val="none" w:sz="0" w:space="0" w:color="auto"/>
                            <w:bottom w:val="none" w:sz="0" w:space="0" w:color="auto"/>
                            <w:right w:val="none" w:sz="0" w:space="0" w:color="auto"/>
                          </w:divBdr>
                          <w:divsChild>
                            <w:div w:id="753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70865">
          <w:marLeft w:val="0"/>
          <w:marRight w:val="0"/>
          <w:marTop w:val="0"/>
          <w:marBottom w:val="0"/>
          <w:divBdr>
            <w:top w:val="none" w:sz="0" w:space="0" w:color="auto"/>
            <w:left w:val="none" w:sz="0" w:space="0" w:color="auto"/>
            <w:bottom w:val="none" w:sz="0" w:space="0" w:color="auto"/>
            <w:right w:val="none" w:sz="0" w:space="0" w:color="auto"/>
          </w:divBdr>
          <w:divsChild>
            <w:div w:id="394208021">
              <w:marLeft w:val="0"/>
              <w:marRight w:val="0"/>
              <w:marTop w:val="0"/>
              <w:marBottom w:val="0"/>
              <w:divBdr>
                <w:top w:val="none" w:sz="0" w:space="0" w:color="auto"/>
                <w:left w:val="none" w:sz="0" w:space="0" w:color="auto"/>
                <w:bottom w:val="none" w:sz="0" w:space="0" w:color="auto"/>
                <w:right w:val="none" w:sz="0" w:space="0" w:color="auto"/>
              </w:divBdr>
              <w:divsChild>
                <w:div w:id="1083572968">
                  <w:marLeft w:val="0"/>
                  <w:marRight w:val="0"/>
                  <w:marTop w:val="0"/>
                  <w:marBottom w:val="0"/>
                  <w:divBdr>
                    <w:top w:val="none" w:sz="0" w:space="0" w:color="auto"/>
                    <w:left w:val="none" w:sz="0" w:space="0" w:color="auto"/>
                    <w:bottom w:val="none" w:sz="0" w:space="0" w:color="auto"/>
                    <w:right w:val="none" w:sz="0" w:space="0" w:color="auto"/>
                  </w:divBdr>
                  <w:divsChild>
                    <w:div w:id="1542939063">
                      <w:marLeft w:val="0"/>
                      <w:marRight w:val="0"/>
                      <w:marTop w:val="0"/>
                      <w:marBottom w:val="0"/>
                      <w:divBdr>
                        <w:top w:val="none" w:sz="0" w:space="0" w:color="auto"/>
                        <w:left w:val="none" w:sz="0" w:space="0" w:color="auto"/>
                        <w:bottom w:val="none" w:sz="0" w:space="0" w:color="auto"/>
                        <w:right w:val="none" w:sz="0" w:space="0" w:color="auto"/>
                      </w:divBdr>
                      <w:divsChild>
                        <w:div w:id="291332652">
                          <w:marLeft w:val="0"/>
                          <w:marRight w:val="0"/>
                          <w:marTop w:val="0"/>
                          <w:marBottom w:val="0"/>
                          <w:divBdr>
                            <w:top w:val="none" w:sz="0" w:space="0" w:color="auto"/>
                            <w:left w:val="none" w:sz="0" w:space="0" w:color="auto"/>
                            <w:bottom w:val="none" w:sz="0" w:space="0" w:color="auto"/>
                            <w:right w:val="none" w:sz="0" w:space="0" w:color="auto"/>
                          </w:divBdr>
                          <w:divsChild>
                            <w:div w:id="605041958">
                              <w:marLeft w:val="0"/>
                              <w:marRight w:val="0"/>
                              <w:marTop w:val="0"/>
                              <w:marBottom w:val="0"/>
                              <w:divBdr>
                                <w:top w:val="none" w:sz="0" w:space="0" w:color="auto"/>
                                <w:left w:val="none" w:sz="0" w:space="0" w:color="auto"/>
                                <w:bottom w:val="none" w:sz="0" w:space="0" w:color="auto"/>
                                <w:right w:val="none" w:sz="0" w:space="0" w:color="auto"/>
                              </w:divBdr>
                              <w:divsChild>
                                <w:div w:id="6842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560831">
          <w:marLeft w:val="0"/>
          <w:marRight w:val="0"/>
          <w:marTop w:val="0"/>
          <w:marBottom w:val="0"/>
          <w:divBdr>
            <w:top w:val="none" w:sz="0" w:space="0" w:color="auto"/>
            <w:left w:val="none" w:sz="0" w:space="0" w:color="auto"/>
            <w:bottom w:val="none" w:sz="0" w:space="0" w:color="auto"/>
            <w:right w:val="none" w:sz="0" w:space="0" w:color="auto"/>
          </w:divBdr>
          <w:divsChild>
            <w:div w:id="1124157700">
              <w:marLeft w:val="0"/>
              <w:marRight w:val="0"/>
              <w:marTop w:val="0"/>
              <w:marBottom w:val="0"/>
              <w:divBdr>
                <w:top w:val="none" w:sz="0" w:space="0" w:color="auto"/>
                <w:left w:val="none" w:sz="0" w:space="0" w:color="auto"/>
                <w:bottom w:val="none" w:sz="0" w:space="0" w:color="auto"/>
                <w:right w:val="none" w:sz="0" w:space="0" w:color="auto"/>
              </w:divBdr>
              <w:divsChild>
                <w:div w:id="481779337">
                  <w:marLeft w:val="0"/>
                  <w:marRight w:val="0"/>
                  <w:marTop w:val="0"/>
                  <w:marBottom w:val="0"/>
                  <w:divBdr>
                    <w:top w:val="none" w:sz="0" w:space="0" w:color="auto"/>
                    <w:left w:val="none" w:sz="0" w:space="0" w:color="auto"/>
                    <w:bottom w:val="none" w:sz="0" w:space="0" w:color="auto"/>
                    <w:right w:val="none" w:sz="0" w:space="0" w:color="auto"/>
                  </w:divBdr>
                  <w:divsChild>
                    <w:div w:id="1346060266">
                      <w:marLeft w:val="0"/>
                      <w:marRight w:val="0"/>
                      <w:marTop w:val="0"/>
                      <w:marBottom w:val="0"/>
                      <w:divBdr>
                        <w:top w:val="none" w:sz="0" w:space="0" w:color="auto"/>
                        <w:left w:val="none" w:sz="0" w:space="0" w:color="auto"/>
                        <w:bottom w:val="none" w:sz="0" w:space="0" w:color="auto"/>
                        <w:right w:val="none" w:sz="0" w:space="0" w:color="auto"/>
                      </w:divBdr>
                      <w:divsChild>
                        <w:div w:id="2126192284">
                          <w:marLeft w:val="0"/>
                          <w:marRight w:val="0"/>
                          <w:marTop w:val="0"/>
                          <w:marBottom w:val="0"/>
                          <w:divBdr>
                            <w:top w:val="none" w:sz="0" w:space="0" w:color="auto"/>
                            <w:left w:val="none" w:sz="0" w:space="0" w:color="auto"/>
                            <w:bottom w:val="none" w:sz="0" w:space="0" w:color="auto"/>
                            <w:right w:val="none" w:sz="0" w:space="0" w:color="auto"/>
                          </w:divBdr>
                          <w:divsChild>
                            <w:div w:id="10411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133716">
      <w:bodyDiv w:val="1"/>
      <w:marLeft w:val="0"/>
      <w:marRight w:val="0"/>
      <w:marTop w:val="0"/>
      <w:marBottom w:val="0"/>
      <w:divBdr>
        <w:top w:val="none" w:sz="0" w:space="0" w:color="auto"/>
        <w:left w:val="none" w:sz="0" w:space="0" w:color="auto"/>
        <w:bottom w:val="none" w:sz="0" w:space="0" w:color="auto"/>
        <w:right w:val="none" w:sz="0" w:space="0" w:color="auto"/>
      </w:divBdr>
    </w:div>
    <w:div w:id="275020499">
      <w:bodyDiv w:val="1"/>
      <w:marLeft w:val="0"/>
      <w:marRight w:val="0"/>
      <w:marTop w:val="0"/>
      <w:marBottom w:val="0"/>
      <w:divBdr>
        <w:top w:val="none" w:sz="0" w:space="0" w:color="auto"/>
        <w:left w:val="none" w:sz="0" w:space="0" w:color="auto"/>
        <w:bottom w:val="none" w:sz="0" w:space="0" w:color="auto"/>
        <w:right w:val="none" w:sz="0" w:space="0" w:color="auto"/>
      </w:divBdr>
    </w:div>
    <w:div w:id="475727702">
      <w:bodyDiv w:val="1"/>
      <w:marLeft w:val="0"/>
      <w:marRight w:val="0"/>
      <w:marTop w:val="0"/>
      <w:marBottom w:val="0"/>
      <w:divBdr>
        <w:top w:val="none" w:sz="0" w:space="0" w:color="auto"/>
        <w:left w:val="none" w:sz="0" w:space="0" w:color="auto"/>
        <w:bottom w:val="none" w:sz="0" w:space="0" w:color="auto"/>
        <w:right w:val="none" w:sz="0" w:space="0" w:color="auto"/>
      </w:divBdr>
    </w:div>
    <w:div w:id="510687100">
      <w:bodyDiv w:val="1"/>
      <w:marLeft w:val="0"/>
      <w:marRight w:val="0"/>
      <w:marTop w:val="0"/>
      <w:marBottom w:val="0"/>
      <w:divBdr>
        <w:top w:val="none" w:sz="0" w:space="0" w:color="auto"/>
        <w:left w:val="none" w:sz="0" w:space="0" w:color="auto"/>
        <w:bottom w:val="none" w:sz="0" w:space="0" w:color="auto"/>
        <w:right w:val="none" w:sz="0" w:space="0" w:color="auto"/>
      </w:divBdr>
    </w:div>
    <w:div w:id="562444936">
      <w:bodyDiv w:val="1"/>
      <w:marLeft w:val="0"/>
      <w:marRight w:val="0"/>
      <w:marTop w:val="0"/>
      <w:marBottom w:val="0"/>
      <w:divBdr>
        <w:top w:val="none" w:sz="0" w:space="0" w:color="auto"/>
        <w:left w:val="none" w:sz="0" w:space="0" w:color="auto"/>
        <w:bottom w:val="none" w:sz="0" w:space="0" w:color="auto"/>
        <w:right w:val="none" w:sz="0" w:space="0" w:color="auto"/>
      </w:divBdr>
    </w:div>
    <w:div w:id="576745779">
      <w:bodyDiv w:val="1"/>
      <w:marLeft w:val="0"/>
      <w:marRight w:val="0"/>
      <w:marTop w:val="0"/>
      <w:marBottom w:val="0"/>
      <w:divBdr>
        <w:top w:val="none" w:sz="0" w:space="0" w:color="auto"/>
        <w:left w:val="none" w:sz="0" w:space="0" w:color="auto"/>
        <w:bottom w:val="none" w:sz="0" w:space="0" w:color="auto"/>
        <w:right w:val="none" w:sz="0" w:space="0" w:color="auto"/>
      </w:divBdr>
    </w:div>
    <w:div w:id="630481539">
      <w:bodyDiv w:val="1"/>
      <w:marLeft w:val="0"/>
      <w:marRight w:val="0"/>
      <w:marTop w:val="0"/>
      <w:marBottom w:val="0"/>
      <w:divBdr>
        <w:top w:val="none" w:sz="0" w:space="0" w:color="auto"/>
        <w:left w:val="none" w:sz="0" w:space="0" w:color="auto"/>
        <w:bottom w:val="none" w:sz="0" w:space="0" w:color="auto"/>
        <w:right w:val="none" w:sz="0" w:space="0" w:color="auto"/>
      </w:divBdr>
    </w:div>
    <w:div w:id="638413825">
      <w:bodyDiv w:val="1"/>
      <w:marLeft w:val="0"/>
      <w:marRight w:val="0"/>
      <w:marTop w:val="0"/>
      <w:marBottom w:val="0"/>
      <w:divBdr>
        <w:top w:val="none" w:sz="0" w:space="0" w:color="auto"/>
        <w:left w:val="none" w:sz="0" w:space="0" w:color="auto"/>
        <w:bottom w:val="none" w:sz="0" w:space="0" w:color="auto"/>
        <w:right w:val="none" w:sz="0" w:space="0" w:color="auto"/>
      </w:divBdr>
      <w:divsChild>
        <w:div w:id="1082483588">
          <w:marLeft w:val="0"/>
          <w:marRight w:val="0"/>
          <w:marTop w:val="0"/>
          <w:marBottom w:val="0"/>
          <w:divBdr>
            <w:top w:val="none" w:sz="0" w:space="0" w:color="auto"/>
            <w:left w:val="none" w:sz="0" w:space="0" w:color="auto"/>
            <w:bottom w:val="none" w:sz="0" w:space="0" w:color="auto"/>
            <w:right w:val="none" w:sz="0" w:space="0" w:color="auto"/>
          </w:divBdr>
          <w:divsChild>
            <w:div w:id="298733045">
              <w:marLeft w:val="0"/>
              <w:marRight w:val="0"/>
              <w:marTop w:val="0"/>
              <w:marBottom w:val="0"/>
              <w:divBdr>
                <w:top w:val="none" w:sz="0" w:space="0" w:color="auto"/>
                <w:left w:val="none" w:sz="0" w:space="0" w:color="auto"/>
                <w:bottom w:val="none" w:sz="0" w:space="0" w:color="auto"/>
                <w:right w:val="none" w:sz="0" w:space="0" w:color="auto"/>
              </w:divBdr>
              <w:divsChild>
                <w:div w:id="232551746">
                  <w:marLeft w:val="0"/>
                  <w:marRight w:val="0"/>
                  <w:marTop w:val="0"/>
                  <w:marBottom w:val="0"/>
                  <w:divBdr>
                    <w:top w:val="none" w:sz="0" w:space="0" w:color="auto"/>
                    <w:left w:val="none" w:sz="0" w:space="0" w:color="auto"/>
                    <w:bottom w:val="none" w:sz="0" w:space="0" w:color="auto"/>
                    <w:right w:val="none" w:sz="0" w:space="0" w:color="auto"/>
                  </w:divBdr>
                  <w:divsChild>
                    <w:div w:id="922297941">
                      <w:marLeft w:val="0"/>
                      <w:marRight w:val="0"/>
                      <w:marTop w:val="0"/>
                      <w:marBottom w:val="0"/>
                      <w:divBdr>
                        <w:top w:val="none" w:sz="0" w:space="0" w:color="auto"/>
                        <w:left w:val="none" w:sz="0" w:space="0" w:color="auto"/>
                        <w:bottom w:val="none" w:sz="0" w:space="0" w:color="auto"/>
                        <w:right w:val="none" w:sz="0" w:space="0" w:color="auto"/>
                      </w:divBdr>
                      <w:divsChild>
                        <w:div w:id="2025549860">
                          <w:marLeft w:val="0"/>
                          <w:marRight w:val="0"/>
                          <w:marTop w:val="0"/>
                          <w:marBottom w:val="0"/>
                          <w:divBdr>
                            <w:top w:val="none" w:sz="0" w:space="0" w:color="auto"/>
                            <w:left w:val="none" w:sz="0" w:space="0" w:color="auto"/>
                            <w:bottom w:val="none" w:sz="0" w:space="0" w:color="auto"/>
                            <w:right w:val="none" w:sz="0" w:space="0" w:color="auto"/>
                          </w:divBdr>
                          <w:divsChild>
                            <w:div w:id="16066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354">
          <w:marLeft w:val="0"/>
          <w:marRight w:val="0"/>
          <w:marTop w:val="0"/>
          <w:marBottom w:val="0"/>
          <w:divBdr>
            <w:top w:val="none" w:sz="0" w:space="0" w:color="auto"/>
            <w:left w:val="none" w:sz="0" w:space="0" w:color="auto"/>
            <w:bottom w:val="none" w:sz="0" w:space="0" w:color="auto"/>
            <w:right w:val="none" w:sz="0" w:space="0" w:color="auto"/>
          </w:divBdr>
          <w:divsChild>
            <w:div w:id="765884685">
              <w:marLeft w:val="0"/>
              <w:marRight w:val="0"/>
              <w:marTop w:val="0"/>
              <w:marBottom w:val="0"/>
              <w:divBdr>
                <w:top w:val="none" w:sz="0" w:space="0" w:color="auto"/>
                <w:left w:val="none" w:sz="0" w:space="0" w:color="auto"/>
                <w:bottom w:val="none" w:sz="0" w:space="0" w:color="auto"/>
                <w:right w:val="none" w:sz="0" w:space="0" w:color="auto"/>
              </w:divBdr>
              <w:divsChild>
                <w:div w:id="2114740325">
                  <w:marLeft w:val="0"/>
                  <w:marRight w:val="0"/>
                  <w:marTop w:val="0"/>
                  <w:marBottom w:val="0"/>
                  <w:divBdr>
                    <w:top w:val="none" w:sz="0" w:space="0" w:color="auto"/>
                    <w:left w:val="none" w:sz="0" w:space="0" w:color="auto"/>
                    <w:bottom w:val="none" w:sz="0" w:space="0" w:color="auto"/>
                    <w:right w:val="none" w:sz="0" w:space="0" w:color="auto"/>
                  </w:divBdr>
                  <w:divsChild>
                    <w:div w:id="1571690888">
                      <w:marLeft w:val="0"/>
                      <w:marRight w:val="0"/>
                      <w:marTop w:val="0"/>
                      <w:marBottom w:val="0"/>
                      <w:divBdr>
                        <w:top w:val="none" w:sz="0" w:space="0" w:color="auto"/>
                        <w:left w:val="none" w:sz="0" w:space="0" w:color="auto"/>
                        <w:bottom w:val="none" w:sz="0" w:space="0" w:color="auto"/>
                        <w:right w:val="none" w:sz="0" w:space="0" w:color="auto"/>
                      </w:divBdr>
                      <w:divsChild>
                        <w:div w:id="923034567">
                          <w:marLeft w:val="0"/>
                          <w:marRight w:val="0"/>
                          <w:marTop w:val="0"/>
                          <w:marBottom w:val="0"/>
                          <w:divBdr>
                            <w:top w:val="none" w:sz="0" w:space="0" w:color="auto"/>
                            <w:left w:val="none" w:sz="0" w:space="0" w:color="auto"/>
                            <w:bottom w:val="none" w:sz="0" w:space="0" w:color="auto"/>
                            <w:right w:val="none" w:sz="0" w:space="0" w:color="auto"/>
                          </w:divBdr>
                          <w:divsChild>
                            <w:div w:id="1950968848">
                              <w:marLeft w:val="0"/>
                              <w:marRight w:val="0"/>
                              <w:marTop w:val="0"/>
                              <w:marBottom w:val="0"/>
                              <w:divBdr>
                                <w:top w:val="none" w:sz="0" w:space="0" w:color="auto"/>
                                <w:left w:val="none" w:sz="0" w:space="0" w:color="auto"/>
                                <w:bottom w:val="none" w:sz="0" w:space="0" w:color="auto"/>
                                <w:right w:val="none" w:sz="0" w:space="0" w:color="auto"/>
                              </w:divBdr>
                              <w:divsChild>
                                <w:div w:id="15555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815263">
          <w:marLeft w:val="0"/>
          <w:marRight w:val="0"/>
          <w:marTop w:val="0"/>
          <w:marBottom w:val="0"/>
          <w:divBdr>
            <w:top w:val="none" w:sz="0" w:space="0" w:color="auto"/>
            <w:left w:val="none" w:sz="0" w:space="0" w:color="auto"/>
            <w:bottom w:val="none" w:sz="0" w:space="0" w:color="auto"/>
            <w:right w:val="none" w:sz="0" w:space="0" w:color="auto"/>
          </w:divBdr>
          <w:divsChild>
            <w:div w:id="1088427508">
              <w:marLeft w:val="0"/>
              <w:marRight w:val="0"/>
              <w:marTop w:val="0"/>
              <w:marBottom w:val="0"/>
              <w:divBdr>
                <w:top w:val="none" w:sz="0" w:space="0" w:color="auto"/>
                <w:left w:val="none" w:sz="0" w:space="0" w:color="auto"/>
                <w:bottom w:val="none" w:sz="0" w:space="0" w:color="auto"/>
                <w:right w:val="none" w:sz="0" w:space="0" w:color="auto"/>
              </w:divBdr>
              <w:divsChild>
                <w:div w:id="1152066794">
                  <w:marLeft w:val="0"/>
                  <w:marRight w:val="0"/>
                  <w:marTop w:val="0"/>
                  <w:marBottom w:val="0"/>
                  <w:divBdr>
                    <w:top w:val="none" w:sz="0" w:space="0" w:color="auto"/>
                    <w:left w:val="none" w:sz="0" w:space="0" w:color="auto"/>
                    <w:bottom w:val="none" w:sz="0" w:space="0" w:color="auto"/>
                    <w:right w:val="none" w:sz="0" w:space="0" w:color="auto"/>
                  </w:divBdr>
                  <w:divsChild>
                    <w:div w:id="719130216">
                      <w:marLeft w:val="0"/>
                      <w:marRight w:val="0"/>
                      <w:marTop w:val="0"/>
                      <w:marBottom w:val="0"/>
                      <w:divBdr>
                        <w:top w:val="none" w:sz="0" w:space="0" w:color="auto"/>
                        <w:left w:val="none" w:sz="0" w:space="0" w:color="auto"/>
                        <w:bottom w:val="none" w:sz="0" w:space="0" w:color="auto"/>
                        <w:right w:val="none" w:sz="0" w:space="0" w:color="auto"/>
                      </w:divBdr>
                      <w:divsChild>
                        <w:div w:id="1476530965">
                          <w:marLeft w:val="0"/>
                          <w:marRight w:val="0"/>
                          <w:marTop w:val="0"/>
                          <w:marBottom w:val="0"/>
                          <w:divBdr>
                            <w:top w:val="none" w:sz="0" w:space="0" w:color="auto"/>
                            <w:left w:val="none" w:sz="0" w:space="0" w:color="auto"/>
                            <w:bottom w:val="none" w:sz="0" w:space="0" w:color="auto"/>
                            <w:right w:val="none" w:sz="0" w:space="0" w:color="auto"/>
                          </w:divBdr>
                          <w:divsChild>
                            <w:div w:id="4431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43731">
      <w:bodyDiv w:val="1"/>
      <w:marLeft w:val="0"/>
      <w:marRight w:val="0"/>
      <w:marTop w:val="0"/>
      <w:marBottom w:val="0"/>
      <w:divBdr>
        <w:top w:val="none" w:sz="0" w:space="0" w:color="auto"/>
        <w:left w:val="none" w:sz="0" w:space="0" w:color="auto"/>
        <w:bottom w:val="none" w:sz="0" w:space="0" w:color="auto"/>
        <w:right w:val="none" w:sz="0" w:space="0" w:color="auto"/>
      </w:divBdr>
    </w:div>
    <w:div w:id="753549359">
      <w:bodyDiv w:val="1"/>
      <w:marLeft w:val="0"/>
      <w:marRight w:val="0"/>
      <w:marTop w:val="0"/>
      <w:marBottom w:val="0"/>
      <w:divBdr>
        <w:top w:val="none" w:sz="0" w:space="0" w:color="auto"/>
        <w:left w:val="none" w:sz="0" w:space="0" w:color="auto"/>
        <w:bottom w:val="none" w:sz="0" w:space="0" w:color="auto"/>
        <w:right w:val="none" w:sz="0" w:space="0" w:color="auto"/>
      </w:divBdr>
    </w:div>
    <w:div w:id="844589404">
      <w:bodyDiv w:val="1"/>
      <w:marLeft w:val="0"/>
      <w:marRight w:val="0"/>
      <w:marTop w:val="0"/>
      <w:marBottom w:val="0"/>
      <w:divBdr>
        <w:top w:val="none" w:sz="0" w:space="0" w:color="auto"/>
        <w:left w:val="none" w:sz="0" w:space="0" w:color="auto"/>
        <w:bottom w:val="none" w:sz="0" w:space="0" w:color="auto"/>
        <w:right w:val="none" w:sz="0" w:space="0" w:color="auto"/>
      </w:divBdr>
    </w:div>
    <w:div w:id="967394100">
      <w:bodyDiv w:val="1"/>
      <w:marLeft w:val="0"/>
      <w:marRight w:val="0"/>
      <w:marTop w:val="0"/>
      <w:marBottom w:val="0"/>
      <w:divBdr>
        <w:top w:val="none" w:sz="0" w:space="0" w:color="auto"/>
        <w:left w:val="none" w:sz="0" w:space="0" w:color="auto"/>
        <w:bottom w:val="none" w:sz="0" w:space="0" w:color="auto"/>
        <w:right w:val="none" w:sz="0" w:space="0" w:color="auto"/>
      </w:divBdr>
    </w:div>
    <w:div w:id="1054887650">
      <w:bodyDiv w:val="1"/>
      <w:marLeft w:val="0"/>
      <w:marRight w:val="0"/>
      <w:marTop w:val="0"/>
      <w:marBottom w:val="0"/>
      <w:divBdr>
        <w:top w:val="none" w:sz="0" w:space="0" w:color="auto"/>
        <w:left w:val="none" w:sz="0" w:space="0" w:color="auto"/>
        <w:bottom w:val="none" w:sz="0" w:space="0" w:color="auto"/>
        <w:right w:val="none" w:sz="0" w:space="0" w:color="auto"/>
      </w:divBdr>
    </w:div>
    <w:div w:id="1209217743">
      <w:bodyDiv w:val="1"/>
      <w:marLeft w:val="0"/>
      <w:marRight w:val="0"/>
      <w:marTop w:val="0"/>
      <w:marBottom w:val="0"/>
      <w:divBdr>
        <w:top w:val="none" w:sz="0" w:space="0" w:color="auto"/>
        <w:left w:val="none" w:sz="0" w:space="0" w:color="auto"/>
        <w:bottom w:val="none" w:sz="0" w:space="0" w:color="auto"/>
        <w:right w:val="none" w:sz="0" w:space="0" w:color="auto"/>
      </w:divBdr>
    </w:div>
    <w:div w:id="1398477795">
      <w:bodyDiv w:val="1"/>
      <w:marLeft w:val="0"/>
      <w:marRight w:val="0"/>
      <w:marTop w:val="0"/>
      <w:marBottom w:val="0"/>
      <w:divBdr>
        <w:top w:val="none" w:sz="0" w:space="0" w:color="auto"/>
        <w:left w:val="none" w:sz="0" w:space="0" w:color="auto"/>
        <w:bottom w:val="none" w:sz="0" w:space="0" w:color="auto"/>
        <w:right w:val="none" w:sz="0" w:space="0" w:color="auto"/>
      </w:divBdr>
    </w:div>
    <w:div w:id="1513645500">
      <w:bodyDiv w:val="1"/>
      <w:marLeft w:val="0"/>
      <w:marRight w:val="0"/>
      <w:marTop w:val="0"/>
      <w:marBottom w:val="0"/>
      <w:divBdr>
        <w:top w:val="none" w:sz="0" w:space="0" w:color="auto"/>
        <w:left w:val="none" w:sz="0" w:space="0" w:color="auto"/>
        <w:bottom w:val="none" w:sz="0" w:space="0" w:color="auto"/>
        <w:right w:val="none" w:sz="0" w:space="0" w:color="auto"/>
      </w:divBdr>
      <w:divsChild>
        <w:div w:id="1284381330">
          <w:marLeft w:val="0"/>
          <w:marRight w:val="0"/>
          <w:marTop w:val="0"/>
          <w:marBottom w:val="0"/>
          <w:divBdr>
            <w:top w:val="none" w:sz="0" w:space="0" w:color="auto"/>
            <w:left w:val="none" w:sz="0" w:space="0" w:color="auto"/>
            <w:bottom w:val="none" w:sz="0" w:space="0" w:color="auto"/>
            <w:right w:val="none" w:sz="0" w:space="0" w:color="auto"/>
          </w:divBdr>
          <w:divsChild>
            <w:div w:id="1949893597">
              <w:marLeft w:val="0"/>
              <w:marRight w:val="0"/>
              <w:marTop w:val="0"/>
              <w:marBottom w:val="0"/>
              <w:divBdr>
                <w:top w:val="none" w:sz="0" w:space="0" w:color="auto"/>
                <w:left w:val="none" w:sz="0" w:space="0" w:color="auto"/>
                <w:bottom w:val="none" w:sz="0" w:space="0" w:color="auto"/>
                <w:right w:val="none" w:sz="0" w:space="0" w:color="auto"/>
              </w:divBdr>
              <w:divsChild>
                <w:div w:id="1587958923">
                  <w:marLeft w:val="0"/>
                  <w:marRight w:val="0"/>
                  <w:marTop w:val="0"/>
                  <w:marBottom w:val="0"/>
                  <w:divBdr>
                    <w:top w:val="none" w:sz="0" w:space="0" w:color="auto"/>
                    <w:left w:val="none" w:sz="0" w:space="0" w:color="auto"/>
                    <w:bottom w:val="none" w:sz="0" w:space="0" w:color="auto"/>
                    <w:right w:val="none" w:sz="0" w:space="0" w:color="auto"/>
                  </w:divBdr>
                  <w:divsChild>
                    <w:div w:id="1964461247">
                      <w:marLeft w:val="0"/>
                      <w:marRight w:val="0"/>
                      <w:marTop w:val="0"/>
                      <w:marBottom w:val="0"/>
                      <w:divBdr>
                        <w:top w:val="none" w:sz="0" w:space="0" w:color="auto"/>
                        <w:left w:val="none" w:sz="0" w:space="0" w:color="auto"/>
                        <w:bottom w:val="none" w:sz="0" w:space="0" w:color="auto"/>
                        <w:right w:val="none" w:sz="0" w:space="0" w:color="auto"/>
                      </w:divBdr>
                      <w:divsChild>
                        <w:div w:id="310210924">
                          <w:marLeft w:val="0"/>
                          <w:marRight w:val="0"/>
                          <w:marTop w:val="0"/>
                          <w:marBottom w:val="0"/>
                          <w:divBdr>
                            <w:top w:val="none" w:sz="0" w:space="0" w:color="auto"/>
                            <w:left w:val="none" w:sz="0" w:space="0" w:color="auto"/>
                            <w:bottom w:val="none" w:sz="0" w:space="0" w:color="auto"/>
                            <w:right w:val="none" w:sz="0" w:space="0" w:color="auto"/>
                          </w:divBdr>
                          <w:divsChild>
                            <w:div w:id="19127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66188">
          <w:marLeft w:val="0"/>
          <w:marRight w:val="0"/>
          <w:marTop w:val="0"/>
          <w:marBottom w:val="0"/>
          <w:divBdr>
            <w:top w:val="none" w:sz="0" w:space="0" w:color="auto"/>
            <w:left w:val="none" w:sz="0" w:space="0" w:color="auto"/>
            <w:bottom w:val="none" w:sz="0" w:space="0" w:color="auto"/>
            <w:right w:val="none" w:sz="0" w:space="0" w:color="auto"/>
          </w:divBdr>
          <w:divsChild>
            <w:div w:id="2104376792">
              <w:marLeft w:val="0"/>
              <w:marRight w:val="0"/>
              <w:marTop w:val="0"/>
              <w:marBottom w:val="0"/>
              <w:divBdr>
                <w:top w:val="none" w:sz="0" w:space="0" w:color="auto"/>
                <w:left w:val="none" w:sz="0" w:space="0" w:color="auto"/>
                <w:bottom w:val="none" w:sz="0" w:space="0" w:color="auto"/>
                <w:right w:val="none" w:sz="0" w:space="0" w:color="auto"/>
              </w:divBdr>
              <w:divsChild>
                <w:div w:id="1339312380">
                  <w:marLeft w:val="0"/>
                  <w:marRight w:val="0"/>
                  <w:marTop w:val="0"/>
                  <w:marBottom w:val="0"/>
                  <w:divBdr>
                    <w:top w:val="none" w:sz="0" w:space="0" w:color="auto"/>
                    <w:left w:val="none" w:sz="0" w:space="0" w:color="auto"/>
                    <w:bottom w:val="none" w:sz="0" w:space="0" w:color="auto"/>
                    <w:right w:val="none" w:sz="0" w:space="0" w:color="auto"/>
                  </w:divBdr>
                  <w:divsChild>
                    <w:div w:id="336425263">
                      <w:marLeft w:val="0"/>
                      <w:marRight w:val="0"/>
                      <w:marTop w:val="0"/>
                      <w:marBottom w:val="0"/>
                      <w:divBdr>
                        <w:top w:val="none" w:sz="0" w:space="0" w:color="auto"/>
                        <w:left w:val="none" w:sz="0" w:space="0" w:color="auto"/>
                        <w:bottom w:val="none" w:sz="0" w:space="0" w:color="auto"/>
                        <w:right w:val="none" w:sz="0" w:space="0" w:color="auto"/>
                      </w:divBdr>
                      <w:divsChild>
                        <w:div w:id="459343059">
                          <w:marLeft w:val="0"/>
                          <w:marRight w:val="0"/>
                          <w:marTop w:val="0"/>
                          <w:marBottom w:val="0"/>
                          <w:divBdr>
                            <w:top w:val="none" w:sz="0" w:space="0" w:color="auto"/>
                            <w:left w:val="none" w:sz="0" w:space="0" w:color="auto"/>
                            <w:bottom w:val="none" w:sz="0" w:space="0" w:color="auto"/>
                            <w:right w:val="none" w:sz="0" w:space="0" w:color="auto"/>
                          </w:divBdr>
                          <w:divsChild>
                            <w:div w:id="850722997">
                              <w:marLeft w:val="0"/>
                              <w:marRight w:val="0"/>
                              <w:marTop w:val="0"/>
                              <w:marBottom w:val="0"/>
                              <w:divBdr>
                                <w:top w:val="none" w:sz="0" w:space="0" w:color="auto"/>
                                <w:left w:val="none" w:sz="0" w:space="0" w:color="auto"/>
                                <w:bottom w:val="none" w:sz="0" w:space="0" w:color="auto"/>
                                <w:right w:val="none" w:sz="0" w:space="0" w:color="auto"/>
                              </w:divBdr>
                              <w:divsChild>
                                <w:div w:id="19238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03734">
          <w:marLeft w:val="0"/>
          <w:marRight w:val="0"/>
          <w:marTop w:val="0"/>
          <w:marBottom w:val="0"/>
          <w:divBdr>
            <w:top w:val="none" w:sz="0" w:space="0" w:color="auto"/>
            <w:left w:val="none" w:sz="0" w:space="0" w:color="auto"/>
            <w:bottom w:val="none" w:sz="0" w:space="0" w:color="auto"/>
            <w:right w:val="none" w:sz="0" w:space="0" w:color="auto"/>
          </w:divBdr>
          <w:divsChild>
            <w:div w:id="1023632562">
              <w:marLeft w:val="0"/>
              <w:marRight w:val="0"/>
              <w:marTop w:val="0"/>
              <w:marBottom w:val="0"/>
              <w:divBdr>
                <w:top w:val="none" w:sz="0" w:space="0" w:color="auto"/>
                <w:left w:val="none" w:sz="0" w:space="0" w:color="auto"/>
                <w:bottom w:val="none" w:sz="0" w:space="0" w:color="auto"/>
                <w:right w:val="none" w:sz="0" w:space="0" w:color="auto"/>
              </w:divBdr>
              <w:divsChild>
                <w:div w:id="650402757">
                  <w:marLeft w:val="0"/>
                  <w:marRight w:val="0"/>
                  <w:marTop w:val="0"/>
                  <w:marBottom w:val="0"/>
                  <w:divBdr>
                    <w:top w:val="none" w:sz="0" w:space="0" w:color="auto"/>
                    <w:left w:val="none" w:sz="0" w:space="0" w:color="auto"/>
                    <w:bottom w:val="none" w:sz="0" w:space="0" w:color="auto"/>
                    <w:right w:val="none" w:sz="0" w:space="0" w:color="auto"/>
                  </w:divBdr>
                  <w:divsChild>
                    <w:div w:id="1466003341">
                      <w:marLeft w:val="0"/>
                      <w:marRight w:val="0"/>
                      <w:marTop w:val="0"/>
                      <w:marBottom w:val="0"/>
                      <w:divBdr>
                        <w:top w:val="none" w:sz="0" w:space="0" w:color="auto"/>
                        <w:left w:val="none" w:sz="0" w:space="0" w:color="auto"/>
                        <w:bottom w:val="none" w:sz="0" w:space="0" w:color="auto"/>
                        <w:right w:val="none" w:sz="0" w:space="0" w:color="auto"/>
                      </w:divBdr>
                      <w:divsChild>
                        <w:div w:id="1688485995">
                          <w:marLeft w:val="0"/>
                          <w:marRight w:val="0"/>
                          <w:marTop w:val="0"/>
                          <w:marBottom w:val="0"/>
                          <w:divBdr>
                            <w:top w:val="none" w:sz="0" w:space="0" w:color="auto"/>
                            <w:left w:val="none" w:sz="0" w:space="0" w:color="auto"/>
                            <w:bottom w:val="none" w:sz="0" w:space="0" w:color="auto"/>
                            <w:right w:val="none" w:sz="0" w:space="0" w:color="auto"/>
                          </w:divBdr>
                          <w:divsChild>
                            <w:div w:id="133787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25554">
      <w:bodyDiv w:val="1"/>
      <w:marLeft w:val="0"/>
      <w:marRight w:val="0"/>
      <w:marTop w:val="0"/>
      <w:marBottom w:val="0"/>
      <w:divBdr>
        <w:top w:val="none" w:sz="0" w:space="0" w:color="auto"/>
        <w:left w:val="none" w:sz="0" w:space="0" w:color="auto"/>
        <w:bottom w:val="none" w:sz="0" w:space="0" w:color="auto"/>
        <w:right w:val="none" w:sz="0" w:space="0" w:color="auto"/>
      </w:divBdr>
      <w:divsChild>
        <w:div w:id="1145662626">
          <w:marLeft w:val="0"/>
          <w:marRight w:val="0"/>
          <w:marTop w:val="0"/>
          <w:marBottom w:val="0"/>
          <w:divBdr>
            <w:top w:val="none" w:sz="0" w:space="0" w:color="auto"/>
            <w:left w:val="none" w:sz="0" w:space="0" w:color="auto"/>
            <w:bottom w:val="none" w:sz="0" w:space="0" w:color="auto"/>
            <w:right w:val="none" w:sz="0" w:space="0" w:color="auto"/>
          </w:divBdr>
          <w:divsChild>
            <w:div w:id="1864898433">
              <w:marLeft w:val="0"/>
              <w:marRight w:val="0"/>
              <w:marTop w:val="0"/>
              <w:marBottom w:val="0"/>
              <w:divBdr>
                <w:top w:val="none" w:sz="0" w:space="0" w:color="auto"/>
                <w:left w:val="none" w:sz="0" w:space="0" w:color="auto"/>
                <w:bottom w:val="none" w:sz="0" w:space="0" w:color="auto"/>
                <w:right w:val="none" w:sz="0" w:space="0" w:color="auto"/>
              </w:divBdr>
              <w:divsChild>
                <w:div w:id="571962736">
                  <w:marLeft w:val="0"/>
                  <w:marRight w:val="0"/>
                  <w:marTop w:val="0"/>
                  <w:marBottom w:val="0"/>
                  <w:divBdr>
                    <w:top w:val="none" w:sz="0" w:space="0" w:color="auto"/>
                    <w:left w:val="none" w:sz="0" w:space="0" w:color="auto"/>
                    <w:bottom w:val="none" w:sz="0" w:space="0" w:color="auto"/>
                    <w:right w:val="none" w:sz="0" w:space="0" w:color="auto"/>
                  </w:divBdr>
                  <w:divsChild>
                    <w:div w:id="918902521">
                      <w:marLeft w:val="0"/>
                      <w:marRight w:val="0"/>
                      <w:marTop w:val="0"/>
                      <w:marBottom w:val="0"/>
                      <w:divBdr>
                        <w:top w:val="none" w:sz="0" w:space="0" w:color="auto"/>
                        <w:left w:val="none" w:sz="0" w:space="0" w:color="auto"/>
                        <w:bottom w:val="none" w:sz="0" w:space="0" w:color="auto"/>
                        <w:right w:val="none" w:sz="0" w:space="0" w:color="auto"/>
                      </w:divBdr>
                      <w:divsChild>
                        <w:div w:id="841359837">
                          <w:marLeft w:val="0"/>
                          <w:marRight w:val="0"/>
                          <w:marTop w:val="0"/>
                          <w:marBottom w:val="0"/>
                          <w:divBdr>
                            <w:top w:val="none" w:sz="0" w:space="0" w:color="auto"/>
                            <w:left w:val="none" w:sz="0" w:space="0" w:color="auto"/>
                            <w:bottom w:val="none" w:sz="0" w:space="0" w:color="auto"/>
                            <w:right w:val="none" w:sz="0" w:space="0" w:color="auto"/>
                          </w:divBdr>
                          <w:divsChild>
                            <w:div w:id="11862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740218">
          <w:marLeft w:val="0"/>
          <w:marRight w:val="0"/>
          <w:marTop w:val="0"/>
          <w:marBottom w:val="0"/>
          <w:divBdr>
            <w:top w:val="none" w:sz="0" w:space="0" w:color="auto"/>
            <w:left w:val="none" w:sz="0" w:space="0" w:color="auto"/>
            <w:bottom w:val="none" w:sz="0" w:space="0" w:color="auto"/>
            <w:right w:val="none" w:sz="0" w:space="0" w:color="auto"/>
          </w:divBdr>
          <w:divsChild>
            <w:div w:id="1764182968">
              <w:marLeft w:val="0"/>
              <w:marRight w:val="0"/>
              <w:marTop w:val="0"/>
              <w:marBottom w:val="0"/>
              <w:divBdr>
                <w:top w:val="none" w:sz="0" w:space="0" w:color="auto"/>
                <w:left w:val="none" w:sz="0" w:space="0" w:color="auto"/>
                <w:bottom w:val="none" w:sz="0" w:space="0" w:color="auto"/>
                <w:right w:val="none" w:sz="0" w:space="0" w:color="auto"/>
              </w:divBdr>
              <w:divsChild>
                <w:div w:id="475536759">
                  <w:marLeft w:val="0"/>
                  <w:marRight w:val="0"/>
                  <w:marTop w:val="0"/>
                  <w:marBottom w:val="0"/>
                  <w:divBdr>
                    <w:top w:val="none" w:sz="0" w:space="0" w:color="auto"/>
                    <w:left w:val="none" w:sz="0" w:space="0" w:color="auto"/>
                    <w:bottom w:val="none" w:sz="0" w:space="0" w:color="auto"/>
                    <w:right w:val="none" w:sz="0" w:space="0" w:color="auto"/>
                  </w:divBdr>
                  <w:divsChild>
                    <w:div w:id="1767001514">
                      <w:marLeft w:val="0"/>
                      <w:marRight w:val="0"/>
                      <w:marTop w:val="0"/>
                      <w:marBottom w:val="0"/>
                      <w:divBdr>
                        <w:top w:val="none" w:sz="0" w:space="0" w:color="auto"/>
                        <w:left w:val="none" w:sz="0" w:space="0" w:color="auto"/>
                        <w:bottom w:val="none" w:sz="0" w:space="0" w:color="auto"/>
                        <w:right w:val="none" w:sz="0" w:space="0" w:color="auto"/>
                      </w:divBdr>
                      <w:divsChild>
                        <w:div w:id="1776359438">
                          <w:marLeft w:val="0"/>
                          <w:marRight w:val="0"/>
                          <w:marTop w:val="0"/>
                          <w:marBottom w:val="0"/>
                          <w:divBdr>
                            <w:top w:val="none" w:sz="0" w:space="0" w:color="auto"/>
                            <w:left w:val="none" w:sz="0" w:space="0" w:color="auto"/>
                            <w:bottom w:val="none" w:sz="0" w:space="0" w:color="auto"/>
                            <w:right w:val="none" w:sz="0" w:space="0" w:color="auto"/>
                          </w:divBdr>
                          <w:divsChild>
                            <w:div w:id="913393588">
                              <w:marLeft w:val="0"/>
                              <w:marRight w:val="0"/>
                              <w:marTop w:val="0"/>
                              <w:marBottom w:val="0"/>
                              <w:divBdr>
                                <w:top w:val="none" w:sz="0" w:space="0" w:color="auto"/>
                                <w:left w:val="none" w:sz="0" w:space="0" w:color="auto"/>
                                <w:bottom w:val="none" w:sz="0" w:space="0" w:color="auto"/>
                                <w:right w:val="none" w:sz="0" w:space="0" w:color="auto"/>
                              </w:divBdr>
                              <w:divsChild>
                                <w:div w:id="8874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4300">
          <w:marLeft w:val="0"/>
          <w:marRight w:val="0"/>
          <w:marTop w:val="0"/>
          <w:marBottom w:val="0"/>
          <w:divBdr>
            <w:top w:val="none" w:sz="0" w:space="0" w:color="auto"/>
            <w:left w:val="none" w:sz="0" w:space="0" w:color="auto"/>
            <w:bottom w:val="none" w:sz="0" w:space="0" w:color="auto"/>
            <w:right w:val="none" w:sz="0" w:space="0" w:color="auto"/>
          </w:divBdr>
          <w:divsChild>
            <w:div w:id="765350680">
              <w:marLeft w:val="0"/>
              <w:marRight w:val="0"/>
              <w:marTop w:val="0"/>
              <w:marBottom w:val="0"/>
              <w:divBdr>
                <w:top w:val="none" w:sz="0" w:space="0" w:color="auto"/>
                <w:left w:val="none" w:sz="0" w:space="0" w:color="auto"/>
                <w:bottom w:val="none" w:sz="0" w:space="0" w:color="auto"/>
                <w:right w:val="none" w:sz="0" w:space="0" w:color="auto"/>
              </w:divBdr>
              <w:divsChild>
                <w:div w:id="503473604">
                  <w:marLeft w:val="0"/>
                  <w:marRight w:val="0"/>
                  <w:marTop w:val="0"/>
                  <w:marBottom w:val="0"/>
                  <w:divBdr>
                    <w:top w:val="none" w:sz="0" w:space="0" w:color="auto"/>
                    <w:left w:val="none" w:sz="0" w:space="0" w:color="auto"/>
                    <w:bottom w:val="none" w:sz="0" w:space="0" w:color="auto"/>
                    <w:right w:val="none" w:sz="0" w:space="0" w:color="auto"/>
                  </w:divBdr>
                  <w:divsChild>
                    <w:div w:id="1974672246">
                      <w:marLeft w:val="0"/>
                      <w:marRight w:val="0"/>
                      <w:marTop w:val="0"/>
                      <w:marBottom w:val="0"/>
                      <w:divBdr>
                        <w:top w:val="none" w:sz="0" w:space="0" w:color="auto"/>
                        <w:left w:val="none" w:sz="0" w:space="0" w:color="auto"/>
                        <w:bottom w:val="none" w:sz="0" w:space="0" w:color="auto"/>
                        <w:right w:val="none" w:sz="0" w:space="0" w:color="auto"/>
                      </w:divBdr>
                      <w:divsChild>
                        <w:div w:id="1648898335">
                          <w:marLeft w:val="0"/>
                          <w:marRight w:val="0"/>
                          <w:marTop w:val="0"/>
                          <w:marBottom w:val="0"/>
                          <w:divBdr>
                            <w:top w:val="none" w:sz="0" w:space="0" w:color="auto"/>
                            <w:left w:val="none" w:sz="0" w:space="0" w:color="auto"/>
                            <w:bottom w:val="none" w:sz="0" w:space="0" w:color="auto"/>
                            <w:right w:val="none" w:sz="0" w:space="0" w:color="auto"/>
                          </w:divBdr>
                          <w:divsChild>
                            <w:div w:id="11827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084007">
      <w:bodyDiv w:val="1"/>
      <w:marLeft w:val="0"/>
      <w:marRight w:val="0"/>
      <w:marTop w:val="0"/>
      <w:marBottom w:val="0"/>
      <w:divBdr>
        <w:top w:val="none" w:sz="0" w:space="0" w:color="auto"/>
        <w:left w:val="none" w:sz="0" w:space="0" w:color="auto"/>
        <w:bottom w:val="none" w:sz="0" w:space="0" w:color="auto"/>
        <w:right w:val="none" w:sz="0" w:space="0" w:color="auto"/>
      </w:divBdr>
    </w:div>
    <w:div w:id="1649286093">
      <w:bodyDiv w:val="1"/>
      <w:marLeft w:val="0"/>
      <w:marRight w:val="0"/>
      <w:marTop w:val="0"/>
      <w:marBottom w:val="0"/>
      <w:divBdr>
        <w:top w:val="none" w:sz="0" w:space="0" w:color="auto"/>
        <w:left w:val="none" w:sz="0" w:space="0" w:color="auto"/>
        <w:bottom w:val="none" w:sz="0" w:space="0" w:color="auto"/>
        <w:right w:val="none" w:sz="0" w:space="0" w:color="auto"/>
      </w:divBdr>
    </w:div>
    <w:div w:id="182990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32D5D2-1C5A-46E0-954C-23BA2D26D363}">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3BD9C6A9-A8EE-402B-8BC3-48B2C3862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ED5FA8-0BD7-4DCF-A418-0EF87199AD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702</Words>
  <Characters>4002</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aktaş</dc:creator>
  <cp:keywords/>
  <dc:description/>
  <cp:lastModifiedBy>Ebru ERDOGAN</cp:lastModifiedBy>
  <cp:revision>14</cp:revision>
  <dcterms:created xsi:type="dcterms:W3CDTF">2026-03-23T07:11:00Z</dcterms:created>
  <dcterms:modified xsi:type="dcterms:W3CDTF">2026-03-23T13:50:00Z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